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122FFFF3">
                <wp:simplePos x="0" y="0"/>
                <wp:positionH relativeFrom="column">
                  <wp:posOffset>0</wp:posOffset>
                </wp:positionH>
                <wp:positionV relativeFrom="line">
                  <wp:posOffset>190500</wp:posOffset>
                </wp:positionV>
                <wp:extent cx="343535" cy="343535"/>
                <wp:effectExtent l="0" t="0" r="0" b="0"/>
                <wp:wrapNone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fillcolor="#ff6600" stroked="f" style="position:absolute;margin-left:0pt;margin-top:15pt;width:26.95pt;height:26.95pt;mso-wrap-style:none;v-text-anchor:middle" wp14:anchorId="122FFFF3">
                <v:fill o:detectmouseclick="t" type="solid" color2="#0099ff"/>
                <v:stroke color="#3465a4" weight="12600" joinstyle="miter" endcap="flat"/>
                <w10:wrap type="none"/>
              </v:rect>
            </w:pict>
          </mc:Fallback>
        </mc:AlternateContent>
      </w:r>
    </w:p>
    <w:p>
      <w:pPr>
        <w:pStyle w:val="Corpo"/>
        <w:rPr/>
      </w:pPr>
      <w:r>
        <w:rPr/>
      </w:r>
    </w:p>
    <w:p>
      <w:pPr>
        <w:pStyle w:val="Corpo"/>
        <w:rPr/>
      </w:pPr>
      <w:r>
        <w:rPr/>
      </w:r>
    </w:p>
    <w:p>
      <w:pPr>
        <w:pStyle w:val="Corpo"/>
        <w:jc w:val="center"/>
        <w:rPr/>
      </w:pPr>
      <w:r>
        <w:rPr/>
      </w:r>
    </w:p>
    <w:p>
      <w:pPr>
        <w:pStyle w:val="Corpo"/>
        <w:jc w:val="center"/>
        <w:rPr/>
      </w:pPr>
      <w:r>
        <w:rPr/>
      </w:r>
    </w:p>
    <w:p>
      <w:pPr>
        <w:pStyle w:val="Corpo"/>
        <w:jc w:val="center"/>
        <w:rPr/>
      </w:pPr>
      <w:r>
        <w:rPr/>
      </w:r>
    </w:p>
    <w:p>
      <w:pPr>
        <w:pStyle w:val="Corpo"/>
        <w:rPr/>
      </w:pPr>
      <w:r>
        <w:rPr/>
        <w:t xml:space="preserve">A INCORPORAÇÃO DE LEITOS DE UTI TIPO II (ADULTO E PEDIÁTRICO) NAS RAS E O REAJUSTE DOS VALORES DAS DIÁRIAS DOS LEITOS DE UTI HABILITADOS, EM GERAL. </w:t>
      </w:r>
    </w:p>
    <w:p>
      <w:pPr>
        <w:pStyle w:val="Corpo"/>
        <w:jc w:val="center"/>
        <w:rPr/>
      </w:pPr>
      <w:r>
        <w:rPr/>
      </w:r>
    </w:p>
    <w:p>
      <w:pPr>
        <w:pStyle w:val="Corpo"/>
        <w:jc w:val="center"/>
        <w:rPr/>
      </w:pPr>
      <w:r>
        <w:rPr/>
      </w:r>
    </w:p>
    <w:p>
      <w:pPr>
        <w:pStyle w:val="Corpo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 wp14:anchorId="122FFFF5">
                <wp:simplePos x="0" y="0"/>
                <wp:positionH relativeFrom="column">
                  <wp:posOffset>1018540</wp:posOffset>
                </wp:positionH>
                <wp:positionV relativeFrom="paragraph">
                  <wp:posOffset>259715</wp:posOffset>
                </wp:positionV>
                <wp:extent cx="4655185" cy="426720"/>
                <wp:effectExtent l="0" t="0" r="0" b="127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440" cy="42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fillcolor="white" stroked="f" style="position:absolute;margin-left:80.2pt;margin-top:20.45pt;width:366.45pt;height:33.5pt;mso-wrap-style:square;v-text-anchor:top" wp14:anchorId="122FFFF5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tabs>
          <w:tab w:val="clear" w:pos="720"/>
          <w:tab w:val="left" w:pos="5821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122FFFF7">
                <wp:simplePos x="0" y="0"/>
                <wp:positionH relativeFrom="column">
                  <wp:posOffset>2941320</wp:posOffset>
                </wp:positionH>
                <wp:positionV relativeFrom="paragraph">
                  <wp:posOffset>5482590</wp:posOffset>
                </wp:positionV>
                <wp:extent cx="4031615" cy="1142365"/>
                <wp:effectExtent l="3810" t="0" r="3810" b="0"/>
                <wp:wrapNone/>
                <wp:docPr id="4" name="Caixa de texto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20" cy="114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9" stroked="f" style="position:absolute;margin-left:231.6pt;margin-top:431.7pt;width:317.35pt;height:89.85pt;mso-wrap-style:square;v-text-anchor:top" wp14:anchorId="122FFFF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</w:r>
    </w:p>
    <w:p>
      <w:pPr>
        <w:pStyle w:val="Corpo"/>
        <w:jc w:val="center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851" w:top="4820" w:footer="1134" w:bottom="1191" w:gutter="0"/>
          <w:pgNumType w:fmt="decimal"/>
          <w:formProt w:val="false"/>
          <w:textDirection w:val="lrTb"/>
          <w:docGrid w:type="default" w:linePitch="100" w:charSpace="0"/>
        </w:sectPr>
        <w:pStyle w:val="Corpo"/>
        <w:tabs>
          <w:tab w:val="clear" w:pos="720"/>
          <w:tab w:val="left" w:pos="1843" w:leader="none"/>
        </w:tabs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 wp14:anchorId="122FFFFD">
                <wp:simplePos x="0" y="0"/>
                <wp:positionH relativeFrom="column">
                  <wp:posOffset>2941320</wp:posOffset>
                </wp:positionH>
                <wp:positionV relativeFrom="paragraph">
                  <wp:posOffset>5482590</wp:posOffset>
                </wp:positionV>
                <wp:extent cx="4031615" cy="1142365"/>
                <wp:effectExtent l="3810" t="0" r="3810" b="0"/>
                <wp:wrapNone/>
                <wp:docPr id="6" name="Caixa de tex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20" cy="114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6" stroked="f" style="position:absolute;margin-left:231.6pt;margin-top:431.7pt;width:317.35pt;height:89.85pt;mso-wrap-style:square;v-text-anchor:top" wp14:anchorId="122FFFFD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122FFFFB">
                <wp:simplePos x="0" y="0"/>
                <wp:positionH relativeFrom="column">
                  <wp:posOffset>2941320</wp:posOffset>
                </wp:positionH>
                <wp:positionV relativeFrom="paragraph">
                  <wp:posOffset>5482590</wp:posOffset>
                </wp:positionV>
                <wp:extent cx="4031615" cy="1142365"/>
                <wp:effectExtent l="3810" t="0" r="3810" b="0"/>
                <wp:wrapNone/>
                <wp:docPr id="8" name="Caixa de tex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20" cy="114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7" stroked="f" style="position:absolute;margin-left:231.6pt;margin-top:431.7pt;width:317.35pt;height:89.85pt;mso-wrap-style:square;v-text-anchor:top" wp14:anchorId="122FFFF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122FFFF9">
                <wp:simplePos x="0" y="0"/>
                <wp:positionH relativeFrom="column">
                  <wp:posOffset>2941320</wp:posOffset>
                </wp:positionH>
                <wp:positionV relativeFrom="paragraph">
                  <wp:posOffset>5482590</wp:posOffset>
                </wp:positionV>
                <wp:extent cx="4031615" cy="1142365"/>
                <wp:effectExtent l="3810" t="0" r="3810" b="0"/>
                <wp:wrapNone/>
                <wp:docPr id="10" name="Caixa de texto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20" cy="114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8" stroked="f" style="position:absolute;margin-left:231.6pt;margin-top:431.7pt;width:317.35pt;height:89.85pt;mso-wrap-style:square;v-text-anchor:top" wp14:anchorId="122FFFF9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Minuta de Portaria que altera a Seção X, do Capítulo II, da Portaria de Consolidação nº. 1, de 28 de setembro de 2017, para redefinir os critérios para a transferência de recursos financeiros, destinados ao custeio das centrais de regulação, ambulatorial e hospitalar, organizadas no âmbito do Sistema Único de Saúde (SUS).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p>
      <w:pPr>
        <w:pStyle w:val="Default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INCORPORAÇÃO DE 6.500 NOVOS LEITOS DE UTI NA REDE DE ATENÇÃO À SAÚDE - RAS E O REJUSTE DOS VALORES DAS DIARIAS DOS LEITOS DE UTI EM GERAL </w:t>
      </w:r>
    </w:p>
    <w:p>
      <w:pPr>
        <w:pStyle w:val="Default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numPr>
          <w:ilvl w:val="0"/>
          <w:numId w:val="3"/>
        </w:numPr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Contextualização</w:t>
      </w:r>
    </w:p>
    <w:p>
      <w:pPr>
        <w:pStyle w:val="Default"/>
        <w:spacing w:lineRule="auto" w:line="360"/>
        <w:ind w:left="7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Aos 26 de novembro de 2020, em reunião das diretorias do Conass e Conasems com o Ministro da Saúde à época, foi acordado que o Ministério da Saúde iria custear a incorporação de 5.000 leitos de Unidades de Terapia Intensiva (UTI) SRAG/COVID-19 às RAS. Em dezembro do mesmo ano, </w:t>
      </w:r>
      <w:r>
        <w:rPr>
          <w:rFonts w:cs="Arial" w:ascii="Arial" w:hAnsi="Arial"/>
          <w:color w:val="auto"/>
        </w:rPr>
        <w:t xml:space="preserve">o Conass e o Conasems ratificaram </w:t>
      </w:r>
      <w:r>
        <w:rPr>
          <w:rFonts w:cs="Arial" w:ascii="Arial" w:hAnsi="Arial"/>
        </w:rPr>
        <w:t xml:space="preserve">o pleito de incorporação </w:t>
      </w:r>
      <w:r>
        <w:rPr>
          <w:rFonts w:cs="Arial" w:ascii="Arial" w:hAnsi="Arial"/>
          <w:color w:val="auto"/>
        </w:rPr>
        <w:t xml:space="preserve">dos </w:t>
      </w:r>
      <w:r>
        <w:rPr>
          <w:rFonts w:cs="Arial" w:ascii="Arial" w:hAnsi="Arial"/>
        </w:rPr>
        <w:t xml:space="preserve">5 mil leitos, a partir das novas estruturas criadas pelos gestores estaduais e municipais visando ao combate a pandemia do novo coronavírus (COVID-19). Tal proposta abarcava a utilização de tais leitos de UTI para o enfrentamento necessário durante a pandemia e, após esse período, a incorporação às RAS, visando suprir a necessidade histórica de expansão de leitos de UTI na rede SUS, além de prover atendimento aos casos “pós-COVID”. </w:t>
      </w:r>
    </w:p>
    <w:p>
      <w:pPr>
        <w:pStyle w:val="Default"/>
        <w:spacing w:lineRule="auto" w:line="360"/>
        <w:ind w:first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 proposta inicial foi apresentada na CIT de 16 de dezembro de 2020, porém o </w:t>
      </w:r>
      <w:r>
        <w:rPr>
          <w:rFonts w:cs="Arial" w:ascii="Arial" w:hAnsi="Arial"/>
          <w:color w:val="auto"/>
        </w:rPr>
        <w:t>recrudescimento</w:t>
      </w:r>
      <w:r>
        <w:rPr>
          <w:rFonts w:cs="Arial" w:ascii="Arial" w:hAnsi="Arial"/>
        </w:rPr>
        <w:t xml:space="preserve"> da pandemia </w:t>
      </w:r>
      <w:r>
        <w:rPr>
          <w:rFonts w:cs="Arial" w:ascii="Arial" w:hAnsi="Arial"/>
          <w:color w:val="auto"/>
        </w:rPr>
        <w:t xml:space="preserve">da COVID-19 </w:t>
      </w:r>
      <w:r>
        <w:rPr>
          <w:rFonts w:cs="Arial" w:ascii="Arial" w:hAnsi="Arial"/>
        </w:rPr>
        <w:t xml:space="preserve">em 2021 não permitiu o avanço </w:t>
      </w:r>
      <w:r>
        <w:rPr>
          <w:rFonts w:cs="Arial" w:ascii="Arial" w:hAnsi="Arial"/>
          <w:color w:val="auto"/>
        </w:rPr>
        <w:t xml:space="preserve">dos acordos, </w:t>
      </w:r>
      <w:r>
        <w:rPr>
          <w:rFonts w:cs="Arial" w:ascii="Arial" w:hAnsi="Arial"/>
        </w:rPr>
        <w:t xml:space="preserve">até o último trimestre de 2021, quando as discussões foram retomadas com o encaminhamento ao Ministério da Saúde do </w:t>
      </w:r>
      <w:r>
        <w:rPr>
          <w:rFonts w:cs="Arial" w:ascii="Arial" w:hAnsi="Arial"/>
          <w:b/>
          <w:bCs/>
        </w:rPr>
        <w:t>OFÍCIO CONJUNTO CONASS CONASEMS Nº 024</w:t>
      </w:r>
      <w:r>
        <w:rPr>
          <w:rFonts w:cs="Arial" w:ascii="Arial" w:hAnsi="Arial"/>
          <w:b/>
          <w:bCs/>
          <w:color w:val="FF0000"/>
        </w:rPr>
        <w:t xml:space="preserve"> </w:t>
      </w:r>
      <w:r>
        <w:rPr>
          <w:rFonts w:cs="Arial" w:ascii="Arial" w:hAnsi="Arial"/>
          <w:color w:val="auto"/>
        </w:rPr>
        <w:t xml:space="preserve">em 28 de outubro de 2021, solicitando a </w:t>
      </w:r>
      <w:r>
        <w:rPr>
          <w:rFonts w:cs="Arial" w:ascii="Arial" w:hAnsi="Arial"/>
        </w:rPr>
        <w:t>incorporação de 5.000 leitos de UTI SRAG/COVID 19 nas</w:t>
      </w:r>
      <w:r>
        <w:rPr>
          <w:rFonts w:cs="Arial" w:ascii="Arial" w:hAnsi="Arial"/>
          <w:color w:val="auto"/>
        </w:rPr>
        <w:t xml:space="preserve"> RAS, </w:t>
      </w:r>
      <w:r>
        <w:rPr>
          <w:rFonts w:cs="Arial" w:ascii="Arial" w:hAnsi="Arial"/>
        </w:rPr>
        <w:t xml:space="preserve">e o aumento do valor da diária de todos os leitos de UTI </w:t>
      </w:r>
      <w:r>
        <w:rPr>
          <w:rFonts w:cs="Arial" w:ascii="Arial" w:hAnsi="Arial"/>
          <w:color w:val="auto"/>
        </w:rPr>
        <w:t xml:space="preserve">convencionais </w:t>
      </w:r>
      <w:r>
        <w:rPr>
          <w:rFonts w:cs="Arial" w:ascii="Arial" w:hAnsi="Arial"/>
        </w:rPr>
        <w:t>(habilitados e novos) para R$ 1.000,00 (hum mil reais).</w:t>
      </w:r>
    </w:p>
    <w:p>
      <w:pPr>
        <w:pStyle w:val="Default"/>
        <w:spacing w:lineRule="auto" w:line="360"/>
        <w:ind w:firstLine="36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 xml:space="preserve">Para ratificação da indicação do quantitativo de leitos necessários por UF, foi enviado aos Secretários (as) de Estado da Saúde e Presidentes de COSEMS, o </w:t>
      </w:r>
      <w:r>
        <w:rPr>
          <w:rFonts w:cs="Arial" w:ascii="Arial" w:hAnsi="Arial"/>
          <w:b/>
        </w:rPr>
        <w:t>OFÍCIO CIRCULAR CONJUNTO CONASS CONASEMS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/>
        </w:rPr>
        <w:t>Nº 004, de 05/11/2021</w:t>
      </w:r>
      <w:r>
        <w:rPr>
          <w:rFonts w:cs="Arial" w:ascii="Arial" w:hAnsi="Arial"/>
        </w:rPr>
        <w:t xml:space="preserve">, que </w:t>
      </w:r>
      <w:r>
        <w:rPr>
          <w:rFonts w:cs="Arial" w:ascii="Arial" w:hAnsi="Arial"/>
          <w:bCs/>
          <w:color w:val="auto"/>
        </w:rPr>
        <w:t xml:space="preserve">solicitava a atualização das indicações, </w:t>
      </w:r>
      <w:r>
        <w:rPr>
          <w:rFonts w:cs="Arial" w:ascii="Arial" w:hAnsi="Arial"/>
          <w:bCs/>
        </w:rPr>
        <w:t>por intermédio de Deliberação CIB, dos leitos existentes que poderiam ser incorporados nas RAS, cumprindo as exigências para o funcionamento de leitos UTI Tipo II.</w:t>
      </w:r>
    </w:p>
    <w:p>
      <w:pPr>
        <w:pStyle w:val="Default"/>
        <w:spacing w:lineRule="auto" w:line="360"/>
        <w:ind w:firstLine="360"/>
        <w:jc w:val="both"/>
        <w:rPr>
          <w:rFonts w:ascii="Arial" w:hAnsi="Arial" w:cs="Arial"/>
          <w:strike/>
        </w:rPr>
      </w:pPr>
      <w:r>
        <w:rPr>
          <w:rFonts w:cs="Arial" w:ascii="Arial" w:hAnsi="Arial"/>
        </w:rPr>
        <w:t>Em resposta ao ofí</w:t>
      </w:r>
      <w:r>
        <w:rPr>
          <w:rFonts w:cs="Arial" w:ascii="Arial" w:hAnsi="Arial"/>
          <w:color w:val="auto"/>
        </w:rPr>
        <w:t>cio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auto"/>
        </w:rPr>
        <w:t xml:space="preserve">004/2021 foi indicada pelas </w:t>
      </w:r>
      <w:r>
        <w:rPr>
          <w:rFonts w:cs="Arial" w:ascii="Arial" w:hAnsi="Arial"/>
        </w:rPr>
        <w:t xml:space="preserve">Unidades Federadas </w:t>
      </w:r>
      <w:r>
        <w:rPr>
          <w:rFonts w:cs="Arial" w:ascii="Arial" w:hAnsi="Arial"/>
          <w:color w:val="auto"/>
        </w:rPr>
        <w:t xml:space="preserve">a necessidade de 11.005 </w:t>
      </w:r>
      <w:r>
        <w:rPr>
          <w:rFonts w:cs="Arial" w:ascii="Arial" w:hAnsi="Arial"/>
        </w:rPr>
        <w:t xml:space="preserve">leitos de UTI Tipo II para todo o país. 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ListParagraph"/>
        <w:numPr>
          <w:ilvl w:val="0"/>
          <w:numId w:val="3"/>
        </w:numPr>
        <w:pBdr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Desenvolvimento das Discussões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>1 – Proposta de expansão de leitos em Unidades de Terapia Intensiva – UTI Tipo II e reajuste nos valores de diárias discutida entre Conass, Conasems e MS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ind w:firstLine="36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>Ao final das discussões e, com base no orçamento federal aprovado para a Saúde em 2022, foram definidos de forma tripartite: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A incorporação de 6,5 mil leitos de UTI Tipo II</w:t>
      </w:r>
      <w:r>
        <w:rPr>
          <w:rFonts w:eastAsia="Arial" w:cs="Arial" w:ascii="Arial" w:hAnsi="Arial"/>
          <w:strike/>
          <w:color w:val="000000"/>
          <w:lang w:val="pt-BR"/>
        </w:rPr>
        <w:t xml:space="preserve"> </w:t>
      </w:r>
      <w:r>
        <w:rPr>
          <w:rFonts w:eastAsia="Arial" w:cs="Arial" w:ascii="Arial" w:hAnsi="Arial"/>
          <w:color w:val="000000"/>
          <w:lang w:val="pt-BR"/>
        </w:rPr>
        <w:t>Adulto e/ou Pediátrico na Rede de Atenção à Saúde do país (enquanto legado da pandemia);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 xml:space="preserve">O aumento no valor das diárias de leitos de UTIs </w:t>
      </w:r>
      <w:r>
        <w:rPr>
          <w:rFonts w:eastAsia="Arial" w:cs="Arial" w:ascii="Arial" w:hAnsi="Arial"/>
          <w:lang w:val="pt-BR"/>
        </w:rPr>
        <w:t>convencionais</w:t>
      </w:r>
      <w:r>
        <w:rPr>
          <w:rFonts w:eastAsia="Arial" w:cs="Arial" w:ascii="Arial" w:hAnsi="Arial"/>
          <w:color w:val="000000"/>
          <w:lang w:val="pt-BR"/>
        </w:rPr>
        <w:t xml:space="preserve"> constantes na Tabela Unificada de procedimentos:</w:t>
      </w:r>
    </w:p>
    <w:p>
      <w:pPr>
        <w:pStyle w:val="Normal"/>
        <w:spacing w:lineRule="auto" w:line="360"/>
        <w:ind w:left="1276" w:hanging="283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- Leitos UTI II Adulto, UTI II Pediátrica, UTI Coronariana Tipo II e UTI Neonatal II de R$ 478,72 para R$ 600,00 a diária;</w:t>
      </w:r>
    </w:p>
    <w:p>
      <w:pPr>
        <w:pStyle w:val="Normal"/>
        <w:spacing w:lineRule="auto" w:line="360"/>
        <w:ind w:left="1276" w:hanging="283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- Leitos UTI III Adulto, UTI III Pediátrica, UTI Coronariana Tipo III e UTI Neonatal III de R$ 508,63 para R$ 700,00 a diária;</w:t>
      </w:r>
    </w:p>
    <w:p>
      <w:pPr>
        <w:pStyle w:val="Normal"/>
        <w:spacing w:lineRule="auto" w:line="360"/>
        <w:ind w:left="1276" w:hanging="283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- Leitos de UTI Queimados de R$ 322,00 para R$ 700,00 tendo em conta a sua complexidade e necessidade de indução a este tipo de habilitação de novos leitos no país.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No segundo semestre de 2022 as diárias deverão ser ajustadas para R$ 650,00 para os leitos de UTI Tipo II e R$ 750,00 para os leitos Tipo III, Adulto, UTI III Pediátrica, UTI Coronariana Tipo III, UTI Neonatal III e UTI Queimados, respectivamente.</w:t>
      </w:r>
    </w:p>
    <w:p>
      <w:pPr>
        <w:pStyle w:val="Normal"/>
        <w:spacing w:lineRule="auto" w:line="360"/>
        <w:ind w:left="1440" w:hanging="0"/>
        <w:jc w:val="both"/>
        <w:rPr>
          <w:rFonts w:ascii="Arial" w:hAnsi="Arial" w:eastAsia="Arial" w:cs="Arial"/>
          <w:bCs/>
          <w:color w:val="000000"/>
          <w:lang w:val="pt-BR"/>
        </w:rPr>
      </w:pPr>
      <w:r>
        <w:rPr>
          <w:rFonts w:eastAsia="Arial" w:cs="Arial" w:ascii="Arial" w:hAnsi="Arial"/>
          <w:bCs/>
          <w:color w:val="000000"/>
          <w:lang w:val="pt-BR"/>
        </w:rPr>
        <w:t>OBS. 1: O valor total estimado para o aumento do valor das diárias dos leitos de UTI existentes de 23.058 e dos 6.500 novos leitos de UTI tipo II é de R$ 2 bilhões e 800 milhões/ano.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Uniformização do cálculo da taxa de ocupação, com todos os leitos passando a considerar a taxa de ocupação de 90% e de 365 dias;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hd w:fill="FFFF00" w:val="clear"/>
        </w:rPr>
      </w:pPr>
      <w:r>
        <w:rPr>
          <w:rFonts w:eastAsia="Arial" w:cs="Arial" w:ascii="Arial" w:hAnsi="Arial"/>
          <w:color w:val="000000"/>
          <w:shd w:fill="FFFF00" w:val="clear"/>
          <w:lang w:val="pt-BR"/>
        </w:rPr>
        <w:t xml:space="preserve">Prazo para formalização ao Conass e Conasems, pelas secretarias estaduais e municipais de saúde, dos respectivos hospitais e número de leitos de </w:t>
      </w:r>
      <w:r>
        <w:rPr>
          <w:rFonts w:eastAsia="Arial" w:cs="Arial" w:ascii="Arial" w:hAnsi="Arial"/>
          <w:shd w:fill="FFFF00" w:val="clear"/>
          <w:lang w:val="pt-BR"/>
        </w:rPr>
        <w:t xml:space="preserve">UTI II Adulto e/ou UTI II Pediátrico a serem habilitados, mediante </w:t>
      </w:r>
      <w:r>
        <w:rPr>
          <w:rFonts w:eastAsia="Arial" w:cs="Arial" w:ascii="Arial" w:hAnsi="Arial"/>
          <w:color w:val="000000"/>
          <w:shd w:fill="FFFF00" w:val="clear"/>
          <w:lang w:val="pt-BR"/>
        </w:rPr>
        <w:t xml:space="preserve">deliberação CIB, até dia </w:t>
      </w:r>
      <w:r>
        <w:rPr>
          <w:rFonts w:eastAsia="Arial" w:cs="Arial" w:ascii="Arial" w:hAnsi="Arial"/>
          <w:b/>
          <w:bCs/>
          <w:color w:val="000000" w:themeColor="text1"/>
          <w:shd w:fill="FFFF00" w:val="clear"/>
          <w:lang w:val="pt-BR"/>
        </w:rPr>
        <w:t>23 de janeiro de 2022</w:t>
      </w:r>
      <w:r>
        <w:rPr>
          <w:rFonts w:eastAsia="Arial" w:cs="Arial" w:ascii="Arial" w:hAnsi="Arial"/>
          <w:color w:val="000000"/>
          <w:shd w:fill="FFFF00" w:val="clear"/>
          <w:lang w:val="pt-BR"/>
        </w:rPr>
        <w:t>, conforme quantitativo previsto neste documento (anexo planilha Excel com os dados necessários).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I</w:t>
      </w:r>
      <w:r>
        <w:rPr>
          <w:rFonts w:eastAsia="Arial" w:cs="Arial" w:ascii="Arial" w:hAnsi="Arial"/>
          <w:color w:val="000000"/>
          <w:shd w:fill="FFFF00" w:val="clear"/>
          <w:lang w:val="pt-BR"/>
        </w:rPr>
        <w:t xml:space="preserve">nserção da solicitação no Sistema de Apoio à Implementação de Políticas de Saúde do Ministério da Saúde – SAIPS, </w:t>
      </w:r>
      <w:r>
        <w:rPr>
          <w:rFonts w:eastAsia="Arial" w:cs="Arial" w:ascii="Arial" w:hAnsi="Arial"/>
          <w:b/>
          <w:bCs/>
          <w:color w:val="000000"/>
          <w:shd w:fill="FFFF00" w:val="clear"/>
          <w:lang w:val="pt-BR"/>
        </w:rPr>
        <w:t>até o dia 19/02/2022,</w:t>
      </w:r>
      <w:r>
        <w:rPr>
          <w:rFonts w:eastAsia="Arial" w:cs="Arial" w:ascii="Arial" w:hAnsi="Arial"/>
          <w:color w:val="000000"/>
          <w:shd w:fill="FFFF00" w:val="clear"/>
          <w:lang w:val="pt-BR"/>
        </w:rPr>
        <w:t xml:space="preserve"> acompanhado de: i) Relatório de Vistoria da VISA local; ii) Ofício do gestor local informando que o estabelecimento cumpre as exigências da PT de Consolidação nº 03/2017; e, iii) Deliberação CIB confirmando os leitos de UTI informados anteriormente. Caso cumprido esses passos, os leitos serão habilitados a partir de fevereiro de 2022 e, havendo necessidade de adequações, serão solicitadas novas adequações. </w:t>
      </w:r>
    </w:p>
    <w:p>
      <w:pPr>
        <w:pStyle w:val="Normal"/>
        <w:spacing w:lineRule="auto" w:line="360"/>
        <w:ind w:left="1440" w:hanging="0"/>
        <w:jc w:val="both"/>
        <w:rPr>
          <w:rFonts w:ascii="Arial" w:hAnsi="Arial" w:eastAsia="Arial" w:cs="Arial"/>
          <w:i/>
          <w:i/>
          <w:iCs/>
          <w:color w:val="000000"/>
          <w:lang w:val="pt-BR"/>
        </w:rPr>
      </w:pPr>
      <w:r>
        <w:rPr>
          <w:rFonts w:eastAsia="Arial" w:cs="Arial" w:ascii="Arial" w:hAnsi="Arial"/>
          <w:i/>
          <w:iCs/>
          <w:color w:val="000000"/>
          <w:lang w:val="pt-BR"/>
        </w:rPr>
        <w:t>OBS. 2: As adequações terão o prazo de 6 meses para atender às RDCs ANVISA e apresentação dos documentos necessários ao funcionamento de UTI regular, via sistema SAIPS;</w:t>
      </w:r>
    </w:p>
    <w:p>
      <w:pPr>
        <w:pStyle w:val="Normal"/>
        <w:spacing w:lineRule="auto" w:line="360"/>
        <w:ind w:left="1440" w:hanging="0"/>
        <w:jc w:val="both"/>
        <w:rPr>
          <w:rFonts w:ascii="Arial" w:hAnsi="Arial" w:eastAsia="Arial" w:cs="Arial"/>
          <w:i/>
          <w:i/>
          <w:iCs/>
          <w:color w:val="000000"/>
          <w:highlight w:val="yellow"/>
          <w:lang w:val="pt-BR"/>
        </w:rPr>
      </w:pPr>
      <w:r>
        <w:rPr>
          <w:rFonts w:eastAsia="Arial" w:cs="Arial" w:ascii="Arial" w:hAnsi="Arial"/>
          <w:i/>
          <w:iCs/>
          <w:color w:val="000000"/>
          <w:highlight w:val="yellow"/>
          <w:lang w:val="pt-BR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Quadro 1 – Valores de diárias de leitos de UTI</w:t>
      </w:r>
    </w:p>
    <w:tbl>
      <w:tblPr>
        <w:tblW w:w="921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94"/>
        <w:gridCol w:w="1276"/>
        <w:gridCol w:w="1984"/>
        <w:gridCol w:w="1700"/>
        <w:gridCol w:w="1560"/>
      </w:tblGrid>
      <w:tr>
        <w:trPr>
          <w:trHeight w:val="6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Código da 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lang w:val="pt-BR"/>
              </w:rPr>
              <w:t>Habilitação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Qt. leitos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UTI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Valor atual diária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Valor diária 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1º Sem.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Valor diária 2º Sem.</w:t>
            </w:r>
          </w:p>
        </w:tc>
      </w:tr>
      <w:tr>
        <w:trPr>
          <w:trHeight w:val="301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2601 UTI II ADULTO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12.593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R$ 478,72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2602 UTI II NEONATAL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R$ 478,72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2603 UTI II PEDIATRICA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2.009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R$ 478,72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2604 UTI III ADULTO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2.430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R$ 508,63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2606 UTI III PEDIATRICA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R$ 508,63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2607 UTI QUEIMADOS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R$ 322,00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R$ 750,00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2608 UTI CORONARIANA TIPO II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R$ 478,72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R$ 650,00</w:t>
            </w:r>
          </w:p>
        </w:tc>
      </w:tr>
      <w:tr>
        <w:trPr>
          <w:trHeight w:val="310" w:hRule="atLeas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2609 UTI CORONARIANA TIPO III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R$ 508,63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R$ 750,00</w:t>
            </w:r>
          </w:p>
        </w:tc>
      </w:tr>
      <w:tr>
        <w:trPr>
          <w:trHeight w:val="6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pt-BR"/>
              </w:rPr>
              <w:t>2610 UTI NEONATAL TIPO II - UTIN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4.145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R$ 478,72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R$ 650,00</w:t>
            </w:r>
          </w:p>
        </w:tc>
      </w:tr>
      <w:tr>
        <w:trPr>
          <w:trHeight w:val="6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pt-BR"/>
              </w:rPr>
              <w:t>2611 UTI NEONATAL TIPO III - UTIN 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R$ 508,63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R$ 700,00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R$ 750,00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ind w:left="720" w:hanging="0"/>
        <w:jc w:val="both"/>
        <w:rPr>
          <w:rFonts w:ascii="Arial" w:hAnsi="Arial" w:eastAsia="Arial" w:cs="Arial"/>
          <w:bCs/>
          <w:i/>
          <w:i/>
          <w:iCs/>
          <w:lang w:val="pt-BR"/>
        </w:rPr>
      </w:pPr>
      <w:r>
        <w:rPr>
          <w:rFonts w:eastAsia="Arial" w:cs="Arial" w:ascii="Arial" w:hAnsi="Arial"/>
          <w:bCs/>
          <w:i/>
          <w:iCs/>
          <w:lang w:val="pt-BR"/>
        </w:rPr>
        <w:t>OBS. 3: Os leitos de UTI II e III qualificados na RAS (cerca de 10.000 leitos de UTI dos atuais 23.058 leitos) permanecem recebendo o mesmo valor de incentivo, totalizando os seguintes valores:</w:t>
      </w:r>
    </w:p>
    <w:p>
      <w:pPr>
        <w:pStyle w:val="Normal"/>
        <w:spacing w:lineRule="auto" w:line="360"/>
        <w:ind w:left="720" w:hanging="0"/>
        <w:jc w:val="both"/>
        <w:rPr>
          <w:rFonts w:ascii="Arial" w:hAnsi="Arial" w:eastAsia="Arial" w:cs="Arial"/>
          <w:bCs/>
          <w:i/>
          <w:i/>
          <w:iCs/>
          <w:lang w:val="pt-BR"/>
        </w:rPr>
      </w:pPr>
      <w:r>
        <w:rPr>
          <w:rFonts w:eastAsia="Arial" w:cs="Arial" w:ascii="Arial" w:hAnsi="Arial"/>
          <w:bCs/>
          <w:i/>
          <w:i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>Quadro 2 – Valor leito de UTI qualificado nas RAS:</w:t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10"/>
        <w:gridCol w:w="2126"/>
        <w:gridCol w:w="2268"/>
        <w:gridCol w:w="2267"/>
      </w:tblGrid>
      <w:tr>
        <w:trPr>
          <w:trHeight w:val="6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Leito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UTI qualificado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Valor atual diária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 xml:space="preserve">Valor diária 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>1º Sem.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 xml:space="preserve">Valor diária 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>2º Sem.</w:t>
            </w:r>
          </w:p>
        </w:tc>
      </w:tr>
      <w:tr>
        <w:trPr>
          <w:trHeight w:val="6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Leito UTI 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R$ 800,00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R$ 921,38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R$ 971,38</w:t>
            </w:r>
          </w:p>
        </w:tc>
      </w:tr>
      <w:tr>
        <w:trPr>
          <w:trHeight w:val="6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Leito UTI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R$ 800,00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R$ 991,7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R$ 1.041,37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O aumento definido representa: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 xml:space="preserve">Quadro 3 – Porcentagem de aumento do leito de UTI em comparação ao valor atual: </w:t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44"/>
        <w:gridCol w:w="2835"/>
        <w:gridCol w:w="2693"/>
      </w:tblGrid>
      <w:tr>
        <w:trPr>
          <w:trHeight w:val="712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Tipo de leito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t-BR"/>
              </w:rPr>
              <w:t>% aumento em relação ao valor atual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>1º Sem.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t-BR"/>
              </w:rPr>
              <w:t>% aumento em relação ao valor atual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>2º Sem.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UTI Tipo II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25,4%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35,8%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UTI Tipo III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37,6%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47,5%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UTI Queimado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117,4%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132,9%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Leito UTI II qualificados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15,2%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21,4%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Leito UTI III qualificados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24,0%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30,2%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1"/>
          <w:numId w:val="2"/>
        </w:numPr>
        <w:pBdr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 xml:space="preserve">– </w:t>
      </w:r>
      <w:r>
        <w:rPr>
          <w:rFonts w:eastAsia="Arial" w:cs="Arial" w:ascii="Arial" w:hAnsi="Arial"/>
          <w:b/>
          <w:lang w:val="pt-BR"/>
        </w:rPr>
        <w:t>Proposta para distribuição dos 6,5 mil leitos a serem incorporados: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lineRule="auto" w:line="360"/>
        <w:ind w:firstLine="36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>Considerando a solicitação de 11.005 leitos pelas CIBs, foi necessária a elaboração de uma metodologia que permitisse uma distribuição mais equânime dos leitos e considerasse a necessidade de interiorização dos leitos de UTI, bem como os vazios assistenciais existentes.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>Metodologia para distribuição dos 6,5 mil leitos de UTI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 xml:space="preserve">Divisão per capita de 50% dos leitos a serem incorporados (3.250 </w:t>
      </w:r>
      <w:r>
        <w:rPr>
          <w:rFonts w:eastAsia="Arial" w:cs="Arial" w:ascii="Arial" w:hAnsi="Arial"/>
          <w:lang w:val="pt-BR"/>
        </w:rPr>
        <w:t>leitos</w:t>
      </w:r>
      <w:r>
        <w:rPr>
          <w:rFonts w:eastAsia="Arial" w:cs="Arial" w:ascii="Arial" w:hAnsi="Arial"/>
          <w:color w:val="000000"/>
          <w:lang w:val="pt-BR"/>
        </w:rPr>
        <w:t>), considerando a população estimada IBG</w:t>
      </w:r>
      <w:r>
        <w:rPr>
          <w:rFonts w:eastAsia="Arial" w:cs="Arial" w:ascii="Arial" w:hAnsi="Arial"/>
          <w:lang w:val="pt-BR"/>
        </w:rPr>
        <w:t xml:space="preserve">E/TCU </w:t>
      </w:r>
      <w:r>
        <w:rPr>
          <w:rFonts w:eastAsia="Arial" w:cs="Arial" w:ascii="Arial" w:hAnsi="Arial"/>
          <w:color w:val="000000"/>
          <w:lang w:val="pt-BR"/>
        </w:rPr>
        <w:t>para o ano de 2021, conforme publicação no Diário Oficial da União – DOU.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 xml:space="preserve">Quadro 4 – Distribuição de 50% dos leitos de UTI por critério populacional: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tbl>
      <w:tblPr>
        <w:tblW w:w="9252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10"/>
        <w:gridCol w:w="1788"/>
        <w:gridCol w:w="1088"/>
        <w:gridCol w:w="1891"/>
        <w:gridCol w:w="2075"/>
      </w:tblGrid>
      <w:tr>
        <w:trPr>
          <w:trHeight w:val="724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Pop. Brasil - Estimativa 2021 (IBGE/TCU)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3250 leitos / critério populacional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Arredondamento </w:t>
            </w:r>
          </w:p>
        </w:tc>
      </w:tr>
      <w:tr>
        <w:trPr>
          <w:trHeight w:val="212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Acre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906.876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0,43%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</w:t>
            </w:r>
          </w:p>
        </w:tc>
      </w:tr>
      <w:tr>
        <w:trPr>
          <w:trHeight w:val="15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Alagoas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3.365.351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1,58%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Amapá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877.613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0,41%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4.269.995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14.985.284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7,02%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Ceará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9.240.580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4,33%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Distrito Federal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3.094.325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Espírito Santo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4.108.508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1,93%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Goiás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7.206.589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3,38%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Maranhão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7.153.262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3,35%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109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3.567.234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 do Sul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2.839.188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1,33%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Minas Gerais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21.411.923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10,04%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8.777.124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4,11%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Paraíba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4.059.905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1,90%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Paraná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11.597.484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5,44%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Pernambuco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9.674.793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4,54%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Piauí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3.289.290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1,54%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17.463.349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8,19%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266,1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Norte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3.560.903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Sul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11.466.630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5,38%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Rondônia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1.815.278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Roraima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652.713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0,31%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7.338.473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3,44%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46.649.132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21,87%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Sergipe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2.338.474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Tocantins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1.607.363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</w:t>
            </w:r>
          </w:p>
        </w:tc>
      </w:tr>
      <w:tr>
        <w:trPr>
          <w:trHeight w:val="32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213.317.639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3.250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3.250</w:t>
            </w:r>
          </w:p>
        </w:tc>
      </w:tr>
    </w:tbl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 xml:space="preserve">Divisão de 50% dos leitos a serem incorporados (3.250 </w:t>
      </w:r>
      <w:r>
        <w:rPr>
          <w:rFonts w:eastAsia="Arial" w:cs="Arial" w:ascii="Arial" w:hAnsi="Arial"/>
          <w:lang w:val="pt-BR"/>
        </w:rPr>
        <w:t>leitos</w:t>
      </w:r>
      <w:r>
        <w:rPr>
          <w:rFonts w:eastAsia="Arial" w:cs="Arial" w:ascii="Arial" w:hAnsi="Arial"/>
          <w:color w:val="000000"/>
          <w:lang w:val="pt-BR"/>
        </w:rPr>
        <w:t>) considerando as recomendações da OMS e do Ministério da Saúde de, no mínimo, 1 leito de UTI para cada 10 mil habitantes:</w:t>
      </w:r>
    </w:p>
    <w:p>
      <w:pPr>
        <w:pStyle w:val="ListParagraph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 xml:space="preserve">O quadro abaixo mostra a relação de UTI por habitantes considerando </w:t>
      </w:r>
      <w:bookmarkStart w:id="0" w:name="_Hlk92463857"/>
      <w:r>
        <w:rPr>
          <w:rFonts w:eastAsia="Arial" w:cs="Arial" w:ascii="Arial" w:hAnsi="Arial"/>
          <w:color w:val="000000"/>
          <w:lang w:val="pt-BR"/>
        </w:rPr>
        <w:t xml:space="preserve">leitos SUS e </w:t>
      </w:r>
      <w:r>
        <w:rPr>
          <w:rFonts w:eastAsia="Arial" w:cs="Arial" w:ascii="Arial" w:hAnsi="Arial"/>
          <w:lang w:val="pt-BR"/>
        </w:rPr>
        <w:t>não</w:t>
      </w:r>
      <w:r>
        <w:rPr>
          <w:rFonts w:eastAsia="Arial" w:cs="Arial" w:ascii="Arial" w:hAnsi="Arial"/>
          <w:color w:val="FF0000"/>
          <w:lang w:val="pt-BR"/>
        </w:rPr>
        <w:t xml:space="preserve"> </w:t>
      </w:r>
      <w:r>
        <w:rPr>
          <w:rFonts w:eastAsia="Arial" w:cs="Arial" w:ascii="Arial" w:hAnsi="Arial"/>
          <w:color w:val="000000"/>
          <w:lang w:val="pt-BR"/>
        </w:rPr>
        <w:t xml:space="preserve">SUS </w:t>
      </w:r>
      <w:bookmarkEnd w:id="0"/>
      <w:r>
        <w:rPr>
          <w:rFonts w:eastAsia="Arial" w:cs="Arial" w:ascii="Arial" w:hAnsi="Arial"/>
          <w:color w:val="000000"/>
          <w:lang w:val="pt-BR"/>
        </w:rPr>
        <w:t>no país, por UF, conforme CNES outubro 2021;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 xml:space="preserve">Utilizou-se a relação de leitos </w:t>
      </w:r>
      <w:bookmarkStart w:id="1" w:name="_Hlk92463792"/>
      <w:r>
        <w:rPr>
          <w:rFonts w:eastAsia="Arial" w:cs="Arial" w:ascii="Arial" w:hAnsi="Arial"/>
          <w:color w:val="000000"/>
          <w:u w:val="single"/>
          <w:lang w:val="pt-BR"/>
        </w:rPr>
        <w:t xml:space="preserve">UTI SUS Adulto e </w:t>
      </w:r>
      <w:r>
        <w:rPr>
          <w:rFonts w:eastAsia="Arial" w:cs="Arial" w:ascii="Arial" w:hAnsi="Arial"/>
          <w:u w:val="single"/>
          <w:lang w:val="pt-BR"/>
        </w:rPr>
        <w:t>Pediátrico</w:t>
      </w:r>
      <w:r>
        <w:rPr>
          <w:rFonts w:eastAsia="Arial" w:cs="Arial" w:ascii="Arial" w:hAnsi="Arial"/>
          <w:color w:val="000000"/>
          <w:u w:val="single"/>
          <w:lang w:val="pt-BR"/>
        </w:rPr>
        <w:t xml:space="preserve"> </w:t>
      </w:r>
      <w:bookmarkEnd w:id="1"/>
      <w:r>
        <w:rPr>
          <w:rFonts w:eastAsia="Arial" w:cs="Arial" w:ascii="Arial" w:hAnsi="Arial"/>
          <w:color w:val="000000"/>
          <w:u w:val="single"/>
          <w:lang w:val="pt-BR"/>
        </w:rPr>
        <w:t>(coluna d)</w:t>
      </w:r>
      <w:r>
        <w:rPr>
          <w:rFonts w:eastAsia="Arial" w:cs="Arial" w:ascii="Arial" w:hAnsi="Arial"/>
          <w:color w:val="000000"/>
          <w:lang w:val="pt-BR"/>
        </w:rPr>
        <w:t xml:space="preserve"> e a população referente a essas faixas etárias existentes nas UFs para a análise, considerando entre outros fatores, o sub registro no CNES, relacionado aos dados de UTI privadas </w:t>
      </w:r>
      <w:r>
        <w:rPr>
          <w:rFonts w:eastAsia="Arial" w:cs="Arial" w:ascii="Arial" w:hAnsi="Arial"/>
          <w:lang w:val="pt-BR"/>
        </w:rPr>
        <w:t>(não SUS) no</w:t>
      </w:r>
      <w:r>
        <w:rPr>
          <w:rFonts w:eastAsia="Arial" w:cs="Arial" w:ascii="Arial" w:hAnsi="Arial"/>
          <w:color w:val="000000"/>
          <w:lang w:val="pt-BR"/>
        </w:rPr>
        <w:t xml:space="preserve"> país;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Após o resultado obtido, foram separados em 4 estratos de estados, aplicando-se a eles pesos diferenciados para cada, em relação a divisão per capita dos demais 3.250 leitos:</w:t>
      </w:r>
    </w:p>
    <w:p>
      <w:pPr>
        <w:pStyle w:val="ListParagraph"/>
        <w:spacing w:lineRule="auto" w:line="360"/>
        <w:ind w:left="1440" w:hanging="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color w:val="000000"/>
          <w:lang w:val="pt-BR"/>
        </w:rPr>
        <w:t xml:space="preserve">Faixa 1: </w:t>
      </w:r>
      <w:r>
        <w:rPr>
          <w:rFonts w:eastAsia="Arial" w:cs="Arial" w:ascii="Arial" w:hAnsi="Arial"/>
          <w:color w:val="000000"/>
          <w:lang w:val="pt-BR"/>
        </w:rPr>
        <w:t>0,00 a 0,50 leitos UTI p/ 10 mil habitantes (SUS) = peso 2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color w:val="000000"/>
          <w:lang w:val="pt-BR"/>
        </w:rPr>
        <w:t>Faixa 2:</w:t>
      </w:r>
      <w:r>
        <w:rPr>
          <w:rFonts w:eastAsia="Arial" w:cs="Arial" w:ascii="Arial" w:hAnsi="Arial"/>
          <w:color w:val="000000"/>
          <w:lang w:val="pt-BR"/>
        </w:rPr>
        <w:t xml:space="preserve"> 0,51 a 0,75 leitos UTI p/ 10 mil habitantes (SUS) = peso 1,2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color w:val="000000"/>
          <w:lang w:val="pt-BR"/>
        </w:rPr>
        <w:t>Faixa 3:</w:t>
      </w:r>
      <w:r>
        <w:rPr>
          <w:rFonts w:eastAsia="Arial" w:cs="Arial" w:ascii="Arial" w:hAnsi="Arial"/>
          <w:color w:val="000000"/>
          <w:lang w:val="pt-BR"/>
        </w:rPr>
        <w:t xml:space="preserve"> 0,76 a 1,00 leitos UTI p/ 10 mil habitantes (SUS) = peso 0,90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color w:val="000000"/>
          <w:lang w:val="pt-BR"/>
        </w:rPr>
        <w:t>Faixa 4:</w:t>
      </w:r>
      <w:r>
        <w:rPr>
          <w:rFonts w:eastAsia="Arial" w:cs="Arial" w:ascii="Arial" w:hAnsi="Arial"/>
          <w:color w:val="000000"/>
          <w:lang w:val="pt-BR"/>
        </w:rPr>
        <w:t xml:space="preserve"> 1,01 a 1,50 leitos UTI p/ 10 mil habitantes (SUS) = peso 0,70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lang w:val="pt-BR"/>
        </w:rPr>
        <w:t xml:space="preserve">Quadro 5 – Leitos de UTI Adulto e Pediátrico SUS e não SUS por 10mil habitantes por UF: </w:t>
      </w:r>
    </w:p>
    <w:p>
      <w:pPr>
        <w:pStyle w:val="Normal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tbl>
      <w:tblPr>
        <w:tblW w:w="10317" w:type="dxa"/>
        <w:jc w:val="left"/>
        <w:tblInd w:w="-9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74"/>
        <w:gridCol w:w="1031"/>
        <w:gridCol w:w="1108"/>
        <w:gridCol w:w="863"/>
        <w:gridCol w:w="911"/>
        <w:gridCol w:w="993"/>
        <w:gridCol w:w="991"/>
        <w:gridCol w:w="1022"/>
        <w:gridCol w:w="1107"/>
        <w:gridCol w:w="816"/>
      </w:tblGrid>
      <w:tr>
        <w:trPr>
          <w:trHeight w:val="312" w:hRule="atLeast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a)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b)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c)</w:t>
            </w:r>
          </w:p>
        </w:tc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d)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e)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f)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g)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h)</w:t>
            </w:r>
          </w:p>
        </w:tc>
        <w:tc>
          <w:tcPr>
            <w:tcW w:w="1107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i)</w:t>
            </w:r>
          </w:p>
        </w:tc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4F81BD" w:themeColor="accent1"/>
                <w:sz w:val="20"/>
                <w:szCs w:val="20"/>
              </w:rPr>
              <w:t>j)</w:t>
            </w:r>
          </w:p>
        </w:tc>
      </w:tr>
      <w:tr>
        <w:trPr>
          <w:trHeight w:val="920" w:hRule="atLeast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UTI p/ 10 mil adulto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SUS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UTI p/ 10 mil Ped.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SUS</w:t>
            </w:r>
          </w:p>
        </w:tc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 xml:space="preserve">UTI p/ 10 mil Total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SUS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UTI p/ 10 mil adulto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NÃO SUS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UTI p/ 10 mil Ped.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NÃO SUS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 xml:space="preserve">UTI p/ 10 mil Total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NÃO SUS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UTI p/ 10 mil Adulto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107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UTI p/ 10 mil Ped.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UTI p/ 10 mil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Região Norte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1,08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Rondônia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1,65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Acre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0,74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1,02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Roraima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0,71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Pará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1,08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Amapá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0,64</w:t>
            </w:r>
          </w:p>
        </w:tc>
      </w:tr>
      <w:tr>
        <w:trPr>
          <w:trHeight w:val="340" w:hRule="atLeast"/>
        </w:trPr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Tocantins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1,17</w:t>
            </w:r>
          </w:p>
        </w:tc>
      </w:tr>
      <w:tr>
        <w:trPr>
          <w:trHeight w:val="5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Região Nordeste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1,19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Maranhão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0,88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Piauí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0,92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Ceará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1,10</w:t>
            </w:r>
          </w:p>
        </w:tc>
      </w:tr>
      <w:tr>
        <w:trPr>
          <w:trHeight w:val="5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Norte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1,24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Paraíba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1,43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Pernambuco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1,69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Alagoas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1,00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Sergipe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1,16</w:t>
            </w:r>
          </w:p>
        </w:tc>
      </w:tr>
      <w:tr>
        <w:trPr>
          <w:trHeight w:val="340" w:hRule="atLeast"/>
        </w:trPr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1,11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Região Sudeste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2,19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Minas Gerais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1,65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Espírito Santo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2,23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2,93</w:t>
            </w:r>
          </w:p>
        </w:tc>
      </w:tr>
      <w:tr>
        <w:trPr>
          <w:trHeight w:val="340" w:hRule="atLeast"/>
        </w:trPr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2,16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Região Sul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1,72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Paraná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1,98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1,37</w:t>
            </w:r>
          </w:p>
        </w:tc>
      </w:tr>
      <w:tr>
        <w:trPr>
          <w:trHeight w:val="540" w:hRule="atLeast"/>
        </w:trPr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Sul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63" w:type="dxa"/>
            <w:tcBorders>
              <w:bottom w:val="single" w:sz="8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1,68</w:t>
            </w:r>
          </w:p>
        </w:tc>
      </w:tr>
      <w:tr>
        <w:trPr>
          <w:trHeight w:val="5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Região Centro-Oeste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2,31</w:t>
            </w:r>
          </w:p>
        </w:tc>
      </w:tr>
      <w:tr>
        <w:trPr>
          <w:trHeight w:val="5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 do Sul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1,6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1,85</w:t>
            </w:r>
          </w:p>
        </w:tc>
      </w:tr>
      <w:tr>
        <w:trPr>
          <w:trHeight w:val="320" w:hRule="atLeast"/>
        </w:trPr>
        <w:tc>
          <w:tcPr>
            <w:tcW w:w="1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Goiás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1,71</w:t>
            </w:r>
          </w:p>
        </w:tc>
      </w:tr>
      <w:tr>
        <w:trPr>
          <w:trHeight w:val="340" w:hRule="atLeast"/>
        </w:trPr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Distrito Federal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000000" w:fill="5B9BD5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4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color="000000" w:fill="BDD7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4,9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eastAsia="Arial" w:cs="Arial" w:ascii="Arial" w:hAnsi="Arial"/>
        </w:rPr>
        <w:t>Tendo sido identificada a quantidade de leitos de UTI SUS por 10mil habitants de cada UF, foi então definido o peso que seria considerado para cada uma das UF e aplicado sobre o saldo dos demais 50% de leitos de UTI (3.250):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b/>
          <w:lang w:val="pt-BR"/>
        </w:rPr>
        <w:t>Quadro 6 – Distribuição de 50% dos leitos de UTI considerando pesos definidos para cada UF</w:t>
      </w:r>
    </w:p>
    <w:tbl>
      <w:tblPr>
        <w:tblW w:w="9886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34"/>
        <w:gridCol w:w="1576"/>
        <w:gridCol w:w="1793"/>
        <w:gridCol w:w="1648"/>
        <w:gridCol w:w="2235"/>
      </w:tblGrid>
      <w:tr>
        <w:trPr>
          <w:trHeight w:val="1149" w:hRule="atLeast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UTI SUS/10mil hab.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Peso (considerando faixa)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Dist. 3250 leitos/critério pop. X peso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  <w:lang w:val="pt-BR"/>
              </w:rPr>
              <w:t>Resultado a partir da multiplicação pelos pesos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 xml:space="preserve"> (Arred.)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Amapá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Roraima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Acre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Maranhão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218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Piauí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Pará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160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Tocantins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29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Ceará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169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Alagoas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61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274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Norte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78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Sergipe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42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319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 do Sul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39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Goiás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98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639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Paraíba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55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Pernambuco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132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Rondônia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25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Sul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122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Minas Gerais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228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Espírito Santo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Distrito Federal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33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Paraná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123</w:t>
            </w:r>
          </w:p>
        </w:tc>
      </w:tr>
      <w:tr>
        <w:trPr>
          <w:trHeight w:val="306" w:hRule="atLeast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3.250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>O quadro abaixo resume a divisão e distribuição dos 6.500 leitos de UTI a serem incorporados, após a utilização das duas métricas citadas acima:</w:t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  <w:t>Quadro 7 – Consolidação da distribuição dos 6.500 leitos de UTI - considerando critérios demonstrados nos Quadros 4 e 6 – e comparação com solicitações CIBs apresentadas ao Conass e Conasems em dez/21: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tbl>
      <w:tblPr>
        <w:tblpPr w:vertAnchor="text" w:horzAnchor="margin" w:tblpXSpec="center" w:leftFromText="141" w:rightFromText="141" w:tblpY="141"/>
        <w:tblW w:w="765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5"/>
        <w:gridCol w:w="1700"/>
        <w:gridCol w:w="1418"/>
        <w:gridCol w:w="1276"/>
        <w:gridCol w:w="1251"/>
      </w:tblGrid>
      <w:tr>
        <w:trPr>
          <w:trHeight w:val="1063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Total distribuição 6.500 leitos UTI 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(Quadro 4 + 6)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pt-BR"/>
              </w:rPr>
              <w:t>Quantidade de leitos solicitados via CIB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Ajuste conforme CIB + Arred.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% em relação ao solicitado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Acre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Alagoas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52%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Amapá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97%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Ceará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Distrito Federal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105%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Espírito Santo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Goiás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56%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Maranhão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36%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Mato Grosso do Sul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Minas Gerais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43%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97%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Paraíba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41%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Paraná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71%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Pernambuco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46%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Piauí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79%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Norte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73%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Rio Grande do Sul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Rondônia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57%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Roraima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Santa Catarina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72%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82%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Sergipe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98%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Tocantins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100%</w:t>
            </w:r>
          </w:p>
        </w:tc>
      </w:tr>
      <w:tr>
        <w:trPr>
          <w:trHeight w:val="326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6.500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11.005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6.215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ind w:left="720" w:hanging="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 xml:space="preserve">OBS. 4: Os estados do Maranhão, Sergipe e Tocantins e o Distrito Federal possuem mais leitos a serem incorporados do que os solicitados via CIB, </w:t>
      </w:r>
      <w:r>
        <w:rPr>
          <w:rFonts w:eastAsia="Arial" w:cs="Arial" w:ascii="Arial" w:hAnsi="Arial"/>
          <w:b/>
          <w:lang w:val="pt-BR"/>
        </w:rPr>
        <w:t>perfazendo um total de 285 leitos a serem redistribuídos</w:t>
      </w:r>
      <w:r>
        <w:rPr>
          <w:rFonts w:eastAsia="Arial" w:cs="Arial" w:ascii="Arial" w:hAnsi="Arial"/>
          <w:lang w:val="pt-BR"/>
        </w:rPr>
        <w:t>. Para redistribuição desses leitos, os critérios foram reaplicados, excluindo-se as UFs que alcançaram 100% do total de leitos solicitados pelas CIBS - Acre, Bahia, Ceará, Distrito Federal, Maranhão, Sergipe e Tocantins, resultando no número total de leitos por UF: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lang w:val="pt-BR"/>
        </w:rPr>
        <w:t>Quadro 8 – Distribuição dos 6.500 leitos de UTI a serem incorporados nas RAS por UF:</w:t>
      </w:r>
    </w:p>
    <w:tbl>
      <w:tblPr>
        <w:tblW w:w="624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56"/>
        <w:gridCol w:w="2989"/>
      </w:tblGrid>
      <w:tr>
        <w:trPr>
          <w:trHeight w:val="261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UF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/>
              </w:rPr>
              <w:t>Leitos de Tipo UTI II por UF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Acre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Alagoas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Amapá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Amazonas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Bahia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Ceará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Distrito Federal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Espírito Santo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Goiás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Maranhão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Mato Grosso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Mato Grosso do Sul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Minas Gerais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Pará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Paraíba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Paraná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Pernambuco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Piauí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Rio de Janeiro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Rio Grande do Norte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Rio Grande do Sul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Rondônia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Roraima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Santa Catarina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São Paulo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1.425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Tocantins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lang w:val="pt-BR"/>
        </w:rPr>
      </w:pPr>
      <w:r>
        <w:rPr>
          <w:rFonts w:eastAsia="Arial" w:cs="Arial" w:ascii="Arial" w:hAnsi="Arial"/>
          <w:b/>
          <w:lang w:val="pt-BR"/>
        </w:rPr>
        <w:t>2 – Transição proposta, considerando os leitos UTI SRAG/COVID-19 existentes e o processo de incorporação dos 6,5 mil novos leitos de UTI</w:t>
      </w:r>
    </w:p>
    <w:p>
      <w:pPr>
        <w:pStyle w:val="Normal"/>
        <w:spacing w:lineRule="auto" w:line="360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color w:val="000000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Para fins de transição, durante o mês de janeiro de 2022 os casos de Covid-19 internados em leitos de</w:t>
      </w:r>
      <w:r>
        <w:rPr>
          <w:rFonts w:eastAsia="Arial" w:cs="Arial" w:ascii="Arial" w:hAnsi="Arial"/>
          <w:color w:val="FF0000"/>
          <w:lang w:val="pt-BR"/>
        </w:rPr>
        <w:t xml:space="preserve"> </w:t>
      </w:r>
      <w:r>
        <w:rPr>
          <w:rFonts w:eastAsia="Arial" w:cs="Arial" w:ascii="Arial" w:hAnsi="Arial"/>
          <w:lang w:val="pt-BR"/>
        </w:rPr>
        <w:t xml:space="preserve">UTI SRAG/Covid-19 </w:t>
      </w:r>
      <w:r>
        <w:rPr>
          <w:rFonts w:eastAsia="Arial" w:cs="Arial" w:ascii="Arial" w:hAnsi="Arial"/>
          <w:color w:val="000000"/>
          <w:lang w:val="pt-BR"/>
        </w:rPr>
        <w:t xml:space="preserve">serão pagos </w:t>
      </w:r>
      <w:r>
        <w:rPr>
          <w:rFonts w:eastAsia="Arial" w:cs="Arial" w:ascii="Arial" w:hAnsi="Arial"/>
          <w:lang w:val="pt-BR"/>
        </w:rPr>
        <w:t xml:space="preserve">mediante </w:t>
      </w:r>
      <w:r>
        <w:rPr>
          <w:rFonts w:eastAsia="Arial" w:cs="Arial" w:ascii="Arial" w:hAnsi="Arial"/>
          <w:color w:val="000000"/>
          <w:lang w:val="pt-BR"/>
        </w:rPr>
        <w:t xml:space="preserve">produção, no valor </w:t>
      </w:r>
      <w:r>
        <w:rPr>
          <w:rFonts w:eastAsia="Arial" w:cs="Arial" w:ascii="Arial" w:hAnsi="Arial"/>
          <w:lang w:val="pt-BR"/>
        </w:rPr>
        <w:t xml:space="preserve">atual </w:t>
      </w:r>
      <w:r>
        <w:rPr>
          <w:rFonts w:eastAsia="Arial" w:cs="Arial" w:ascii="Arial" w:hAnsi="Arial"/>
          <w:color w:val="000000"/>
          <w:lang w:val="pt-BR"/>
        </w:rPr>
        <w:t xml:space="preserve">de R$ </w:t>
      </w:r>
      <w:r>
        <w:rPr>
          <w:rFonts w:eastAsia="Arial" w:cs="Arial" w:ascii="Arial" w:hAnsi="Arial"/>
          <w:lang w:val="pt-BR"/>
        </w:rPr>
        <w:t>1.600,00</w:t>
      </w:r>
      <w:r>
        <w:rPr>
          <w:rFonts w:eastAsia="Arial" w:cs="Arial" w:ascii="Arial" w:hAnsi="Arial"/>
          <w:color w:val="000000"/>
          <w:lang w:val="pt-BR"/>
        </w:rPr>
        <w:t>.</w:t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color w:val="000000"/>
          <w:lang w:val="pt-BR"/>
        </w:rPr>
        <w:t>A portaria GM/MS nº 829 de 28/04/2021, que estabelecia a autorização dos leitos de UTI exclusivos para SRAG/Covid-19, foi revogada pela portaria GM/MS nº 4.226 de 31/12/2021 (cópia anexa).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</w:p>
    <w:p>
      <w:pPr>
        <w:pStyle w:val="Corpo"/>
        <w:ind w:firstLine="720"/>
        <w:rPr>
          <w:lang w:val="pt-PT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28" w:header="851" w:top="1418" w:footer="1134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02B054"/>
        <w:sz w:val="14"/>
        <w:szCs w:val="14"/>
        <w:u w:val="none" w:color="02B054"/>
      </w:rPr>
    </w:pPr>
    <w:r>
      <w:rPr>
        <w:color w:val="02B054"/>
        <w:sz w:val="14"/>
        <w:szCs w:val="14"/>
        <w:u w:val="none" w:color="02B054"/>
      </w:rPr>
    </w:r>
  </w:p>
  <w:p>
    <w:pPr>
      <w:pStyle w:val="Rodap"/>
      <w:rPr/>
    </w:pPr>
    <w:r>
      <w:rPr>
        <w:rFonts w:eastAsia="Arial Unicode MS" w:cs="Arial Unicode MS"/>
        <w:color w:val="02B054"/>
        <w:sz w:val="14"/>
        <w:szCs w:val="14"/>
        <w:u w:val="none" w:color="02B054"/>
      </w:rPr>
      <w:t xml:space="preserve">                                                                       </w:t>
    </w:r>
    <w:r>
      <w:rPr>
        <w:rFonts w:eastAsia="Arial Unicode MS" w:cs="Arial Unicode MS"/>
        <w:color w:val="02B054"/>
        <w:sz w:val="20"/>
        <w:szCs w:val="20"/>
        <w:u w:val="none" w:color="02B054"/>
      </w:rPr>
      <w:t>Brasília, 12 de janeiro de 2022.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320"/>
        <w:tab w:val="clear" w:pos="8640"/>
        <w:tab w:val="left" w:pos="5073" w:leader="none"/>
      </w:tabs>
      <w:rPr/>
    </w:pPr>
    <w:r>
      <w:rPr/>
      <w:drawing>
        <wp:inline distT="0" distB="0" distL="0" distR="0">
          <wp:extent cx="2483485" cy="838200"/>
          <wp:effectExtent l="0" t="0" r="0" b="0"/>
          <wp:docPr id="12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99" t="21720" r="5473" b="30571"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ab/>
    </w:r>
  </w:p>
  <w:p>
    <w:pPr>
      <w:pStyle w:val="Cabealho"/>
      <w:tabs>
        <w:tab w:val="clear" w:pos="4320"/>
        <w:tab w:val="clear" w:pos="8640"/>
        <w:tab w:val="left" w:pos="1120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6" wp14:anchorId="12300023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15635" cy="635"/>
              <wp:effectExtent l="9525" t="9525" r="9525" b="9525"/>
              <wp:wrapNone/>
              <wp:docPr id="13" name="Conector re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pt" to="449.95pt,3pt" ID="Conector reto 3" stroked="t" style="position:absolute" wp14:anchorId="12300023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/>
      <w:tab/>
    </w:r>
  </w:p>
  <w:p>
    <w:pPr>
      <w:pStyle w:val="Cabealho"/>
      <w:rPr>
        <w:b/>
        <w:b/>
        <w:sz w:val="32"/>
      </w:rPr>
    </w:pPr>
    <w:r>
      <w:rPr>
        <w:b/>
        <w:sz w:val="32"/>
      </w:rPr>
      <w:t>NOTA TÉCNICA                                                         01 | 2022</w:t>
    </w:r>
  </w:p>
  <w:p>
    <w:pPr>
      <w:pStyle w:val="Cabealho"/>
      <w:tabs>
        <w:tab w:val="clear" w:pos="4320"/>
        <w:tab w:val="clear" w:pos="8640"/>
        <w:tab w:val="right" w:pos="9066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12300025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715635" cy="635"/>
              <wp:effectExtent l="9525" t="5715" r="9525" b="13335"/>
              <wp:wrapNone/>
              <wp:docPr id="14" name="Conector re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7pt" to="449.95pt,5.7pt" ID="Conector reto 2" stroked="t" style="position:absolute" wp14:anchorId="12300025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/>
      <w:tab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1038225" cy="371475"/>
          <wp:effectExtent l="0" t="0" r="0" b="0"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/>
      <w:t>| NOTA TÉCNICA |01| 2022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link w:val="Ttulo1Char"/>
    <w:uiPriority w:val="9"/>
    <w:qFormat/>
    <w:rsid w:val="00fb1855"/>
    <w:pPr>
      <w:pBdr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7e0a"/>
    <w:pPr>
      <w:keepNext w:val="true"/>
      <w:keepLines/>
      <w:spacing w:before="200" w:after="0"/>
      <w:outlineLvl w:val="1"/>
    </w:pPr>
    <w:rPr>
      <w:rFonts w:ascii="Helvetica" w:hAnsi="Helvetica" w:eastAsia="Helvetica" w:cs="Helvetica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046"/>
    <w:pPr>
      <w:keepNext w:val="true"/>
      <w:keepLines/>
      <w:pBdr/>
      <w:spacing w:lineRule="auto" w:line="259" w:before="280" w:after="80"/>
      <w:outlineLvl w:val="2"/>
    </w:pPr>
    <w:rPr>
      <w:rFonts w:ascii="Calibri" w:hAnsi="Calibri" w:eastAsia="Calibri" w:cs="Calibri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4046"/>
    <w:pPr>
      <w:keepNext w:val="true"/>
      <w:keepLines/>
      <w:pBdr/>
      <w:spacing w:lineRule="auto" w:line="259" w:before="240" w:after="40"/>
      <w:outlineLvl w:val="3"/>
    </w:pPr>
    <w:rPr>
      <w:rFonts w:ascii="Calibri" w:hAnsi="Calibri" w:eastAsia="Calibri" w:cs="Calibri"/>
      <w:b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4046"/>
    <w:pPr>
      <w:keepNext w:val="true"/>
      <w:keepLines/>
      <w:pBdr/>
      <w:spacing w:lineRule="auto" w:line="259" w:before="220" w:after="40"/>
      <w:outlineLvl w:val="4"/>
    </w:pPr>
    <w:rPr>
      <w:rFonts w:ascii="Calibri" w:hAnsi="Calibri" w:eastAsia="Calibri" w:cs="Calibri"/>
      <w:b/>
      <w:sz w:val="22"/>
      <w:szCs w:val="22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4046"/>
    <w:pPr>
      <w:keepNext w:val="true"/>
      <w:keepLines/>
      <w:pBdr/>
      <w:spacing w:lineRule="auto" w:line="259" w:before="200" w:after="40"/>
      <w:outlineLvl w:val="5"/>
    </w:pPr>
    <w:rPr>
      <w:rFonts w:ascii="Calibri" w:hAnsi="Calibri" w:eastAsia="Calibri" w:cs="Calibri"/>
      <w:b/>
      <w:sz w:val="20"/>
      <w:szCs w:val="20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u w:val="singl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55ea2"/>
    <w:rPr>
      <w:rFonts w:ascii="Tahoma" w:hAnsi="Tahoma" w:cs="Tahoma"/>
      <w:sz w:val="16"/>
      <w:szCs w:val="16"/>
      <w:lang w:val="en-US" w:eastAsia="en-US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c4466a"/>
    <w:rPr>
      <w:rFonts w:ascii="Arial" w:hAnsi="Arial" w:eastAsia="Times New Roman" w:cs="Arial"/>
      <w:sz w:val="24"/>
      <w:szCs w:val="24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fb1855"/>
    <w:rPr>
      <w:rFonts w:eastAsia="Times New Roman"/>
      <w:b/>
      <w:bCs/>
      <w:kern w:val="2"/>
      <w:sz w:val="48"/>
      <w:szCs w:val="48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f17e0a"/>
    <w:rPr>
      <w:rFonts w:ascii="Helvetica" w:hAnsi="Helvetica" w:eastAsia="Helvetica" w:cs="Helvetica" w:asciiTheme="majorHAnsi" w:cstheme="majorBidi" w:eastAsiaTheme="majorEastAsia" w:hAnsiTheme="majorHAnsi"/>
      <w:b/>
      <w:bCs/>
      <w:color w:val="4F81BD" w:themeColor="accent1"/>
      <w:sz w:val="26"/>
      <w:szCs w:val="26"/>
      <w:lang w:val="en-US" w:eastAsia="en-US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212609"/>
    <w:rPr>
      <w:sz w:val="24"/>
      <w:szCs w:val="24"/>
      <w:lang w:val="en-US" w:eastAsia="en-US"/>
    </w:rPr>
  </w:style>
  <w:style w:type="character" w:styleId="Nfase">
    <w:name w:val="Ênfase"/>
    <w:basedOn w:val="DefaultParagraphFont"/>
    <w:uiPriority w:val="20"/>
    <w:qFormat/>
    <w:rsid w:val="00212609"/>
    <w:rPr>
      <w:i/>
      <w:iCs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115d2"/>
    <w:rPr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15d2"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115d2"/>
    <w:rPr>
      <w:rFonts w:ascii="Arial" w:hAnsi="Arial" w:cs="Arial Unicode MS"/>
      <w:color w:val="000000"/>
      <w:sz w:val="24"/>
      <w:szCs w:val="24"/>
      <w:u w:val="none" w:color="000000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115d2"/>
    <w:rPr>
      <w:rFonts w:ascii="Arial" w:hAnsi="Arial" w:eastAsia="Arial" w:cs="Arial"/>
      <w:color w:val="000000"/>
      <w:sz w:val="24"/>
      <w:szCs w:val="24"/>
      <w:u w:val="none"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115d2"/>
    <w:rPr>
      <w:b/>
      <w:bCs/>
      <w:lang w:val="en-US" w:eastAsia="en-US"/>
    </w:rPr>
  </w:style>
  <w:style w:type="character" w:styleId="TextosemFormataoChar" w:customStyle="1">
    <w:name w:val="Texto sem Formatação Char"/>
    <w:basedOn w:val="DefaultParagraphFont"/>
    <w:link w:val="TextosemFormatao"/>
    <w:uiPriority w:val="99"/>
    <w:qFormat/>
    <w:rsid w:val="006115d2"/>
    <w:rPr>
      <w:rFonts w:ascii="Calibri" w:hAnsi="Calibri" w:eastAsia="Helvetica" w:cs="Consolas" w:eastAsiaTheme="minorHAnsi"/>
      <w:sz w:val="22"/>
      <w:szCs w:val="21"/>
      <w:lang w:eastAsia="en-US"/>
    </w:rPr>
  </w:style>
  <w:style w:type="character" w:styleId="TtuloChar" w:customStyle="1">
    <w:name w:val="Título Char"/>
    <w:basedOn w:val="DefaultParagraphFont"/>
    <w:link w:val="Ttulo"/>
    <w:uiPriority w:val="99"/>
    <w:qFormat/>
    <w:rsid w:val="002f4cbd"/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12fc1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14046"/>
    <w:rPr>
      <w:rFonts w:ascii="Calibri" w:hAnsi="Calibri" w:eastAsia="Calibri" w:cs="Calibri"/>
      <w:b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714046"/>
    <w:rPr>
      <w:rFonts w:ascii="Calibri" w:hAnsi="Calibri" w:eastAsia="Calibri" w:cs="Calibri"/>
      <w:b/>
      <w:sz w:val="24"/>
      <w:szCs w:val="24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714046"/>
    <w:rPr>
      <w:rFonts w:ascii="Calibri" w:hAnsi="Calibri" w:eastAsia="Calibri" w:cs="Calibri"/>
      <w:b/>
      <w:sz w:val="22"/>
      <w:szCs w:val="22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714046"/>
    <w:rPr>
      <w:rFonts w:ascii="Calibri" w:hAnsi="Calibri" w:eastAsia="Calibri" w:cs="Calibri"/>
      <w:b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714046"/>
    <w:rPr>
      <w:rFonts w:ascii="Georgia" w:hAnsi="Georgia" w:eastAsia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qFormat/>
    <w:rsid w:val="0071404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212609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link w:val="CabealhoChar"/>
    <w:uiPriority w:val="99"/>
    <w:pPr>
      <w:widowControl/>
      <w:pBdr/>
      <w:tabs>
        <w:tab w:val="clear" w:pos="720"/>
        <w:tab w:val="center" w:pos="4320" w:leader="none"/>
        <w:tab w:val="right" w:pos="8640" w:leader="none"/>
      </w:tabs>
      <w:bidi w:val="0"/>
      <w:spacing w:lineRule="auto" w:line="360" w:before="0" w:after="0"/>
      <w:jc w:val="both"/>
    </w:pPr>
    <w:rPr>
      <w:rFonts w:ascii="Arial" w:hAnsi="Arial" w:cs="Arial Unicode MS" w:eastAsia="Arial Unicode M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Rodap">
    <w:name w:val="Footer"/>
    <w:link w:val="RodapChar"/>
    <w:uiPriority w:val="99"/>
    <w:pPr>
      <w:widowControl/>
      <w:pBdr/>
      <w:tabs>
        <w:tab w:val="clear" w:pos="720"/>
        <w:tab w:val="center" w:pos="4320" w:leader="none"/>
        <w:tab w:val="right" w:pos="8640" w:leader="none"/>
      </w:tabs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Corpo" w:customStyle="1">
    <w:name w:val="Corpo"/>
    <w:qFormat/>
    <w:pPr>
      <w:widowControl/>
      <w:pBdr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0"/>
      <w:sz w:val="24"/>
      <w:szCs w:val="24"/>
      <w:u w:val="none" w:color="000000"/>
      <w:lang w:val="pt-BR" w:eastAsia="pt-BR" w:bidi="ar-SA"/>
    </w:rPr>
  </w:style>
  <w:style w:type="paragraph" w:styleId="Notaderodap">
    <w:name w:val="Footnote Text"/>
    <w:pPr>
      <w:widowControl/>
      <w:pBdr/>
      <w:bidi w:val="0"/>
      <w:spacing w:before="0" w:after="0"/>
      <w:jc w:val="left"/>
    </w:pPr>
    <w:rPr>
      <w:rFonts w:ascii="Times" w:hAnsi="Times" w:eastAsia="Times" w:cs="Time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NormalWeb">
    <w:name w:val="Normal (Web)"/>
    <w:uiPriority w:val="99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55ea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74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rsid w:val="00c4466a"/>
    <w:pPr>
      <w:pBdr/>
      <w:spacing w:lineRule="auto" w:line="360" w:before="0" w:after="120"/>
      <w:ind w:left="283" w:hanging="0"/>
      <w:jc w:val="both"/>
    </w:pPr>
    <w:rPr>
      <w:rFonts w:ascii="Arial" w:hAnsi="Arial" w:eastAsia="Times New Roman" w:cs="Arial"/>
      <w:lang w:val="pt-BR" w:eastAsia="pt-BR"/>
    </w:rPr>
  </w:style>
  <w:style w:type="paragraph" w:styleId="Ementa" w:customStyle="1">
    <w:name w:val="ementa"/>
    <w:basedOn w:val="Normal"/>
    <w:qFormat/>
    <w:rsid w:val="00f17e0a"/>
    <w:pPr>
      <w:pBdr/>
      <w:spacing w:beforeAutospacing="1" w:afterAutospacing="1"/>
    </w:pPr>
    <w:rPr>
      <w:rFonts w:eastAsia="Times New Roman"/>
      <w:lang w:val="pt-BR" w:eastAsia="pt-BR"/>
    </w:rPr>
  </w:style>
  <w:style w:type="paragraph" w:styleId="CorpoA" w:customStyle="1">
    <w:name w:val="Corpo A"/>
    <w:qFormat/>
    <w:rsid w:val="007202ca"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u w:val="none" w:color="000000"/>
      <w:lang w:val="en-US" w:eastAsia="pt-BR" w:bidi="ar-SA"/>
    </w:rPr>
  </w:style>
  <w:style w:type="paragraph" w:styleId="Artigo" w:customStyle="1">
    <w:name w:val="artigo"/>
    <w:basedOn w:val="Normal"/>
    <w:qFormat/>
    <w:rsid w:val="00460b26"/>
    <w:pPr>
      <w:pBdr/>
      <w:spacing w:beforeAutospacing="1" w:afterAutospacing="1"/>
    </w:pPr>
    <w:rPr>
      <w:rFonts w:eastAsia="Times New Roman"/>
      <w:lang w:val="pt-BR" w:eastAsia="pt-BR"/>
    </w:rPr>
  </w:style>
  <w:style w:type="paragraph" w:styleId="Intestazioneepidipagina" w:customStyle="1">
    <w:name w:val="Intestazione e piè di pagina"/>
    <w:qFormat/>
    <w:rsid w:val="006115d2"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t-BR" w:eastAsia="pt-BR" w:bidi="ar-SA"/>
    </w:rPr>
  </w:style>
  <w:style w:type="paragraph" w:styleId="Didefault" w:customStyle="1">
    <w:name w:val="Di default"/>
    <w:qFormat/>
    <w:rsid w:val="006115d2"/>
    <w:pPr>
      <w:widowControl/>
      <w:pBdr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115d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115d2"/>
    <w:pPr/>
    <w:rPr>
      <w:b/>
      <w:bCs/>
    </w:rPr>
  </w:style>
  <w:style w:type="paragraph" w:styleId="PlainText">
    <w:name w:val="Plain Text"/>
    <w:basedOn w:val="Normal"/>
    <w:link w:val="TextosemFormataoChar"/>
    <w:uiPriority w:val="99"/>
    <w:unhideWhenUsed/>
    <w:qFormat/>
    <w:rsid w:val="006115d2"/>
    <w:pPr>
      <w:pBdr/>
    </w:pPr>
    <w:rPr>
      <w:rFonts w:ascii="Calibri" w:hAnsi="Calibri" w:eastAsia="Helvetica" w:cs="Consolas" w:eastAsiaTheme="minorHAnsi"/>
      <w:sz w:val="22"/>
      <w:szCs w:val="21"/>
      <w:lang w:val="pt-BR"/>
    </w:rPr>
  </w:style>
  <w:style w:type="paragraph" w:styleId="Corpodetexto21" w:customStyle="1">
    <w:name w:val="Corpo de texto 21"/>
    <w:basedOn w:val="Normal"/>
    <w:qFormat/>
    <w:rsid w:val="00b86dcc"/>
    <w:pPr>
      <w:pBdr/>
      <w:suppressAutoHyphens w:val="true"/>
      <w:spacing w:lineRule="auto" w:line="480" w:before="0" w:after="120"/>
    </w:pPr>
    <w:rPr>
      <w:rFonts w:ascii="Arial" w:hAnsi="Arial" w:eastAsia="Times New Roman"/>
      <w:spacing w:val="-5"/>
      <w:sz w:val="20"/>
      <w:szCs w:val="20"/>
      <w:lang w:val="pt-BR" w:eastAsia="ar-SA"/>
    </w:rPr>
  </w:style>
  <w:style w:type="paragraph" w:styleId="Corpodetexto31" w:customStyle="1">
    <w:name w:val="Corpo de texto 31"/>
    <w:basedOn w:val="Normal"/>
    <w:qFormat/>
    <w:rsid w:val="00b86dcc"/>
    <w:pPr>
      <w:pBdr/>
      <w:suppressAutoHyphens w:val="true"/>
      <w:spacing w:before="0" w:after="120"/>
    </w:pPr>
    <w:rPr>
      <w:rFonts w:ascii="Arial" w:hAnsi="Arial" w:eastAsia="Times New Roman"/>
      <w:spacing w:val="-5"/>
      <w:sz w:val="16"/>
      <w:szCs w:val="16"/>
      <w:lang w:val="pt-BR" w:eastAsia="ar-SA"/>
    </w:rPr>
  </w:style>
  <w:style w:type="paragraph" w:styleId="Corpo2" w:customStyle="1">
    <w:name w:val="Corpo 2"/>
    <w:basedOn w:val="Normal"/>
    <w:qFormat/>
    <w:rsid w:val="00e95f07"/>
    <w:pPr>
      <w:pBdr/>
      <w:suppressAutoHyphens w:val="true"/>
      <w:spacing w:before="120" w:after="120"/>
      <w:ind w:firstLine="709"/>
    </w:pPr>
    <w:rPr>
      <w:rFonts w:ascii="Calibri" w:hAnsi="Calibri" w:eastAsia="Times New Roman"/>
      <w:spacing w:val="-5"/>
      <w:lang w:val="pt-BR" w:eastAsia="ar-SA"/>
    </w:rPr>
  </w:style>
  <w:style w:type="paragraph" w:styleId="Ttulododocumento">
    <w:name w:val="Title"/>
    <w:basedOn w:val="Normal"/>
    <w:link w:val="TtuloChar"/>
    <w:uiPriority w:val="10"/>
    <w:qFormat/>
    <w:rsid w:val="002f4cbd"/>
    <w:pPr>
      <w:pBdr/>
      <w:jc w:val="center"/>
    </w:pPr>
    <w:rPr>
      <w:rFonts w:ascii="Arial" w:hAnsi="Arial" w:eastAsia="Times New Roman" w:cs="Arial"/>
      <w:b/>
      <w:bCs/>
      <w:u w:val="single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046"/>
    <w:pPr>
      <w:keepNext w:val="true"/>
      <w:keepLines/>
      <w:pBdr/>
      <w:spacing w:lineRule="auto" w:line="259" w:before="360" w:after="80"/>
    </w:pPr>
    <w:rPr>
      <w:rFonts w:ascii="Georgia" w:hAnsi="Georgia" w:eastAsia="Georgia" w:cs="Georgia"/>
      <w:i/>
      <w:color w:val="666666"/>
      <w:sz w:val="48"/>
      <w:szCs w:val="48"/>
      <w:lang w:val="pt-BR" w:eastAsia="pt-BR"/>
    </w:rPr>
  </w:style>
  <w:style w:type="paragraph" w:styleId="Default" w:customStyle="1">
    <w:name w:val="Default"/>
    <w:qFormat/>
    <w:rsid w:val="00714046"/>
    <w:pPr>
      <w:widowControl/>
      <w:pBdr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Revision">
    <w:name w:val="Revision"/>
    <w:uiPriority w:val="99"/>
    <w:semiHidden/>
    <w:qFormat/>
    <w:rsid w:val="00e45484"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EstiloImportado1" w:customStyle="1">
    <w:name w:val="Estilo Importado 1"/>
    <w:qFormat/>
  </w:style>
  <w:style w:type="numbering" w:styleId="EstiloImportado2" w:customStyle="1">
    <w:name w:val="Estilo Importado 2"/>
    <w:qFormat/>
  </w:style>
  <w:style w:type="numbering" w:styleId="EstiloImportado4" w:customStyle="1">
    <w:name w:val="Estilo Importado 4"/>
    <w:qFormat/>
  </w:style>
  <w:style w:type="numbering" w:styleId="EstiloImportado5" w:customStyle="1">
    <w:name w:val="Estilo Importado 5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b86dcc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A040-2EC4-4222-9BCE-50DBC7F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13</Pages>
  <Words>2936</Words>
  <Characters>13617</Characters>
  <CharactersWithSpaces>15749</CharactersWithSpaces>
  <Paragraphs>995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2022-01-12T19:52:00Z</dcterms:created>
  <dc:creator>Adriano Salgado de Farias</dc:creator>
  <dc:description/>
  <dc:language>pt-BR</dc:language>
  <cp:lastModifiedBy/>
  <cp:lastPrinted>2022-01-12T15:22:00Z</cp:lastPrinted>
  <dcterms:modified xsi:type="dcterms:W3CDTF">2022-01-17T17:29:05Z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