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E3" w:rsidRDefault="00BF1FE2">
      <w:pPr>
        <w:pStyle w:val="normal0"/>
        <w:spacing w:before="69"/>
        <w:ind w:left="1540"/>
      </w:pPr>
      <w:r>
        <w:rPr>
          <w:rFonts w:ascii="Times New Roman" w:eastAsia="Times New Roman" w:hAnsi="Times New Roman" w:cs="Times New Roman"/>
        </w:rPr>
        <w:t>GOVERNO DE SANTA CATARINA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-85723</wp:posOffset>
            </wp:positionH>
            <wp:positionV relativeFrom="paragraph">
              <wp:posOffset>0</wp:posOffset>
            </wp:positionV>
            <wp:extent cx="774700" cy="74866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48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7E3" w:rsidRDefault="00BF1FE2">
      <w:pPr>
        <w:pStyle w:val="normal0"/>
        <w:spacing w:before="1"/>
        <w:ind w:left="1540" w:right="3570"/>
      </w:pPr>
      <w:r>
        <w:rPr>
          <w:rFonts w:ascii="Times New Roman" w:eastAsia="Times New Roman" w:hAnsi="Times New Roman" w:cs="Times New Roman"/>
        </w:rPr>
        <w:t>Secretaria de Estado da Saúde Comissão Intergestores Bipartite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7E3" w:rsidRDefault="00BF1FE2">
      <w:pPr>
        <w:pStyle w:val="Ttulo1"/>
        <w:numPr>
          <w:ilvl w:val="0"/>
          <w:numId w:val="1"/>
        </w:numPr>
        <w:spacing w:before="207"/>
        <w:ind w:left="2533" w:right="2813" w:firstLine="0"/>
        <w:jc w:val="center"/>
      </w:pPr>
      <w:r>
        <w:rPr>
          <w:rFonts w:ascii="Times New Roman" w:eastAsia="Times New Roman" w:hAnsi="Times New Roman" w:cs="Times New Roman"/>
        </w:rPr>
        <w:t>DELIBERAÇÃO 00 /CIB/2021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37"/>
        </w:tabs>
        <w:spacing w:before="92"/>
        <w:ind w:right="118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Comissão Intergestores Bipartite, no uso de suas atribuições...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100" w:right="109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o disposto no Artigo 198 da Constituição Federal, que estabelece que as ações e serviços públicos de saúde integram uma rede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regionalizada e hierarquizada e constituem um sistema único;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0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Considerando, que o inciso ii, do artigo 7.º, da lei fed</w:t>
      </w:r>
      <w:r>
        <w:rPr>
          <w:rFonts w:ascii="Arial" w:eastAsia="Arial" w:hAnsi="Arial" w:cs="Arial"/>
          <w:color w:val="000000"/>
          <w:sz w:val="24"/>
          <w:szCs w:val="24"/>
        </w:rPr>
        <w:t>eral n.º8080/90, prega a “integralidade de assistência, entendida como conjunto articulado e contínuo das ações e serviços preventivos e curativos, individuais e coletivos, exigidos para cada caso em todos os níveis de complexidade do sistema”;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1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Considerando, o crime de omissão de socorro e Constrangimento ilegal e exposição a perigo da vida, ou da saúde previstos nos artigos 135 e 136 respectivamente, do código penal;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0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 Portaria de Consolidação Nº 1, de 28 de Setembro de 2017, Títul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I dos Direitos e Deveres dos Usuários da Saúde, § 2º“nas situações de urgência/emergência, qualquer serviço de saúde deve receber e cuidar da pessoa bem como encaminhá-la para outro serviço no caso de necessidade”. (Origem: PRT MS/GM 1820/2009, Art. 2º, </w:t>
      </w:r>
      <w:r>
        <w:rPr>
          <w:rFonts w:ascii="Arial" w:eastAsia="Arial" w:hAnsi="Arial" w:cs="Arial"/>
          <w:color w:val="000000"/>
          <w:sz w:val="24"/>
          <w:szCs w:val="24"/>
        </w:rPr>
        <w:t>§ 2º);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100" w:right="11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 Portaria de Consolidação nº03, de 28 de setembro de 2017, Anexo IV do Anexo III, A Regulação médica das Urgências (Origem PRT MS/GM 2657/2004, anexo 1)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0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 Portaria nº 2048, de 5 de novembro de 2002, que estabelece o Regulamento Técnico dos Sistemas Estaduais de Urgência e Emergência; que descreve a autoridade do médico regulador e suas prerrogativas;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11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 extensão territorial e geográfica do Estado de Santa Catarina, que impõe distâncias e tempo de deslocamentos significativos;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15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que na urgência e emergência há limitação de tempo para o tratamento de casos agudos em suas respectivas referências;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left="1100" w:right="104"/>
        <w:jc w:val="both"/>
        <w:rPr>
          <w:color w:val="000000"/>
          <w:sz w:val="24"/>
          <w:szCs w:val="24"/>
        </w:rPr>
        <w:sectPr w:rsidR="002B47E3">
          <w:pgSz w:w="11906" w:h="16838"/>
          <w:pgMar w:top="1134" w:right="1134" w:bottom="1134" w:left="1134" w:header="0" w:footer="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>Considerando a necessidade de uma Rede de Urgência e Emergência capaz de garantir o acesso, tempo resposta para o atendimento, estabilização e tratamento para os pacientes graves;</w:t>
      </w:r>
    </w:p>
    <w:p w:rsidR="002B47E3" w:rsidRDefault="002B47E3">
      <w:pPr>
        <w:pStyle w:val="Ttulo1"/>
        <w:numPr>
          <w:ilvl w:val="0"/>
          <w:numId w:val="1"/>
        </w:numPr>
        <w:ind w:left="1100" w:firstLine="0"/>
      </w:pPr>
    </w:p>
    <w:p w:rsidR="002B47E3" w:rsidRDefault="00BF1FE2">
      <w:pPr>
        <w:pStyle w:val="Ttulo1"/>
        <w:numPr>
          <w:ilvl w:val="0"/>
          <w:numId w:val="1"/>
        </w:numPr>
        <w:ind w:left="1100" w:firstLine="0"/>
      </w:pPr>
      <w:r>
        <w:t>RESOLVE</w:t>
      </w:r>
      <w:r>
        <w:rPr>
          <w:b w:val="0"/>
        </w:rPr>
        <w:t>: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Reorganizar o fluxo de acesso dos usuários do SUS na urgência e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mergência neurológica, por meio do Serviço de Atendimento Móvel de Urgência, regulados pela Central de Regulação de Urgência e Emergência da Secretaria de Estado da Saúde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Santa Catarina.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referências em Neurologia para urgência e emergência são os serviços habilitados dentro da complexidade adequada mais próximo do local que o paciente se encontra no momento do evento, e que possibilite tempo resposta para tratamento adequado com avaliaç</w:t>
      </w:r>
      <w:r>
        <w:rPr>
          <w:rFonts w:ascii="Arial" w:eastAsia="Arial" w:hAnsi="Arial" w:cs="Arial"/>
          <w:color w:val="000000"/>
          <w:sz w:val="24"/>
          <w:szCs w:val="24"/>
        </w:rPr>
        <w:t>ão médica especializada, preferencialmente dentro da macrorregião de saúde.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decisões finais de encaminhamento destes pacientes, cabe </w:t>
      </w:r>
      <w:r>
        <w:rPr>
          <w:rFonts w:ascii="Arial" w:eastAsia="Arial" w:hAnsi="Arial" w:cs="Arial"/>
          <w:sz w:val="24"/>
          <w:szCs w:val="24"/>
        </w:rPr>
        <w:t>à Central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Regulação de Urgência e Emergência, que tem por dever, garantir acesso ao paciente com quadro agudo em uni</w:t>
      </w:r>
      <w:r>
        <w:rPr>
          <w:rFonts w:ascii="Arial" w:eastAsia="Arial" w:hAnsi="Arial" w:cs="Arial"/>
          <w:color w:val="000000"/>
          <w:sz w:val="24"/>
          <w:szCs w:val="24"/>
        </w:rPr>
        <w:t>dades que possam fornecer tratamento definitivo de sua afecção e que sejam habilitados na Rede do Sistema Único de Saúde para tal.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Paciente com AVE (Acidente Vascular Encefálico), dentro da janela terapêutica e sem contra-indicação, deve ser encaminhado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ara referência regional para realização de </w:t>
      </w:r>
      <w:r>
        <w:rPr>
          <w:rFonts w:ascii="Arial" w:eastAsia="Arial" w:hAnsi="Arial" w:cs="Arial"/>
          <w:sz w:val="24"/>
          <w:szCs w:val="24"/>
        </w:rPr>
        <w:t>trombólise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(medicamento endovenoso), em até 4 h 30 m (quatro horas e trinta minutos), ou trombectomia (retirada cirúrgica do coágulo), em até 6 h (seis horas), idealmente. Observando o tempo da janela terapêutica,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o tempo de chegada à referência for maior de 60 m (sessenta minutos), e havendo trombolítico disponível, e sem contra-indicação, realizar trombolítico de acordo com Protocolo Clínico e Diretrizes Terapêuticas - PCDT específico na unidade de origem e, e</w:t>
      </w:r>
      <w:r>
        <w:rPr>
          <w:rFonts w:ascii="Arial" w:eastAsia="Arial" w:hAnsi="Arial" w:cs="Arial"/>
          <w:color w:val="000000"/>
          <w:sz w:val="24"/>
          <w:szCs w:val="24"/>
        </w:rPr>
        <w:t>m seguida encaminhar para unidade de referência.</w:t>
      </w: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Paciente com AVE (Acidente Vascular Encefálico), fora da janela terapêutica, está fora do protocolo de trombólise, e deve ser encaminhado para referência em até 24 h (vinte e quatro horas) para avaliação médica neurológica presencial.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eastAsia="Arial" w:hAnsi="Arial" w:cs="Arial"/>
          <w:color w:val="FF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Respeitando a Políti</w:t>
      </w:r>
      <w:r>
        <w:rPr>
          <w:rFonts w:ascii="Arial" w:eastAsia="Arial" w:hAnsi="Arial" w:cs="Arial"/>
          <w:color w:val="000000"/>
          <w:sz w:val="24"/>
          <w:szCs w:val="24"/>
        </w:rPr>
        <w:t>ca Nacional de Urgência e Emergência que descreve que nas UPA´s 24h nenhum paciente deve ultrapassar o tempo de 24h (vinte e quatro horas) na referida unidade, considera-se a possibilidade de três destinos: avaliação especializada na referência, encaminham</w:t>
      </w:r>
      <w:r>
        <w:rPr>
          <w:rFonts w:ascii="Arial" w:eastAsia="Arial" w:hAnsi="Arial" w:cs="Arial"/>
          <w:color w:val="000000"/>
          <w:sz w:val="24"/>
          <w:szCs w:val="24"/>
        </w:rPr>
        <w:t>ento para leito de retaguarda, se cumprir critérios para tal, ou alta.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Destaca-se a importância de não realizar internação de paciente em unidades de baixa complexidade, sem avaliação especializada presencial ou suporte adequado.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As unidades hospitalares que tiverem capacidade diagnóstica devem ser utilizadas para avaliação neurológica primária, sendo se necessário reencaminhado conforme necessidade para outras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unidades com habilitação de sub áreas da neurologia, após avaliação inicial presencial. 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7"/>
        <w:ind w:right="109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Paciente ou responsável legal deve ser esclarecido quanto aos riscos e benefícios do tratamento trombolítico, assim como a concordância em utilizá-lo.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7"/>
        <w:ind w:right="1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7"/>
        <w:ind w:right="1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regulação el</w:t>
      </w:r>
      <w:r>
        <w:rPr>
          <w:rFonts w:ascii="Arial" w:eastAsia="Arial" w:hAnsi="Arial" w:cs="Arial"/>
          <w:sz w:val="24"/>
          <w:szCs w:val="24"/>
        </w:rPr>
        <w:t>etiva ou NIR do hospital não tem gerência sobre a avaliação inicial feita na porta de referência da especialidade. Esta deve ser feita a partir da discussão técnica entre o médico plantonista da unidade de pronto atendimento 24h e os médicos plantonistas d</w:t>
      </w:r>
      <w:r>
        <w:rPr>
          <w:rFonts w:ascii="Arial" w:eastAsia="Arial" w:hAnsi="Arial" w:cs="Arial"/>
          <w:sz w:val="24"/>
          <w:szCs w:val="24"/>
        </w:rPr>
        <w:t xml:space="preserve">as portas fixas das unidades hospitalares de referência. Pois o aceite em </w:t>
      </w:r>
      <w:r>
        <w:rPr>
          <w:rFonts w:ascii="Arial" w:eastAsia="Arial" w:hAnsi="Arial" w:cs="Arial"/>
          <w:sz w:val="24"/>
          <w:szCs w:val="24"/>
        </w:rPr>
        <w:t>caráter</w:t>
      </w:r>
      <w:r>
        <w:rPr>
          <w:rFonts w:ascii="Arial" w:eastAsia="Arial" w:hAnsi="Arial" w:cs="Arial"/>
          <w:sz w:val="24"/>
          <w:szCs w:val="24"/>
        </w:rPr>
        <w:t xml:space="preserve"> de urgência é feito médico a médico. Em caso de negativa, alegado por superlotação, e esgotado as possibilidades dentro da rede de urgência e emergência da região, deve o  mé</w:t>
      </w:r>
      <w:r>
        <w:rPr>
          <w:rFonts w:ascii="Arial" w:eastAsia="Arial" w:hAnsi="Arial" w:cs="Arial"/>
          <w:sz w:val="24"/>
          <w:szCs w:val="24"/>
        </w:rPr>
        <w:t>dico regulador da Central de Regulação de Urgência Emergência, como autoridade sanitária, decidir o encaminhamento do paciente para a porta fixa da referência hospitalar mais próxima.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7"/>
        <w:ind w:right="109"/>
        <w:jc w:val="both"/>
        <w:rPr>
          <w:rFonts w:ascii="Arial" w:eastAsia="Arial" w:hAnsi="Arial" w:cs="Arial"/>
          <w:color w:val="FF3333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7"/>
        <w:ind w:right="109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Após realizada a avaliação inicial presencial, a conduta de alta com 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vestigação/retorno eletivo, internação ou intervenção imediata, cabe </w:t>
      </w:r>
      <w:r>
        <w:rPr>
          <w:rFonts w:ascii="Arial" w:eastAsia="Arial" w:hAnsi="Arial" w:cs="Arial"/>
          <w:sz w:val="24"/>
          <w:szCs w:val="24"/>
        </w:rPr>
        <w:t>à equipe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especializada do hospital de referência.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B47E3" w:rsidRDefault="00BF1FE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94"/>
        <w:ind w:left="38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Florianópolis,    de novembro de 2021.</w:t>
      </w: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2B47E3" w:rsidRDefault="002B47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2B47E3" w:rsidRDefault="00BF1FE2">
      <w:pPr>
        <w:pStyle w:val="normal0"/>
        <w:ind w:left="874" w:firstLine="240"/>
      </w:pPr>
      <w:r>
        <w:rPr>
          <w:sz w:val="24"/>
          <w:szCs w:val="24"/>
        </w:rPr>
        <w:t>[</w:t>
      </w:r>
      <w:r>
        <w:rPr>
          <w:rFonts w:ascii="Arial" w:eastAsia="Arial" w:hAnsi="Arial" w:cs="Arial"/>
          <w:i/>
          <w:sz w:val="24"/>
          <w:szCs w:val="24"/>
        </w:rPr>
        <w:t>assinado digitalmente</w:t>
      </w:r>
      <w:r>
        <w:rPr>
          <w:sz w:val="24"/>
          <w:szCs w:val="24"/>
        </w:rPr>
        <w:t>]                            [</w:t>
      </w:r>
      <w:r>
        <w:rPr>
          <w:rFonts w:ascii="Arial" w:eastAsia="Arial" w:hAnsi="Arial" w:cs="Arial"/>
          <w:i/>
          <w:sz w:val="24"/>
          <w:szCs w:val="24"/>
        </w:rPr>
        <w:t>assinado digitalmente</w:t>
      </w:r>
      <w:r>
        <w:rPr>
          <w:sz w:val="24"/>
          <w:szCs w:val="24"/>
        </w:rPr>
        <w:t>]</w:t>
      </w:r>
    </w:p>
    <w:p w:rsidR="002B47E3" w:rsidRDefault="00BF1FE2">
      <w:pPr>
        <w:pStyle w:val="Ttulo1"/>
        <w:tabs>
          <w:tab w:val="left" w:pos="5113"/>
        </w:tabs>
        <w:spacing w:before="138"/>
        <w:ind w:left="432"/>
      </w:pPr>
      <w:r>
        <w:t xml:space="preserve">       ANDRÉ MOTTA RIBEIRO                          DAISSON TREVISOL</w:t>
      </w:r>
    </w:p>
    <w:sectPr w:rsidR="002B47E3" w:rsidSect="002B47E3">
      <w:type w:val="continuous"/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A63FB"/>
    <w:multiLevelType w:val="multilevel"/>
    <w:tmpl w:val="B85AF7B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47E3"/>
    <w:rsid w:val="002B47E3"/>
    <w:rsid w:val="00B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B47E3"/>
    <w:pPr>
      <w:spacing w:before="77"/>
      <w:ind w:left="458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0"/>
    <w:next w:val="normal0"/>
    <w:rsid w:val="002B47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B47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B47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B47E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B47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2B47E3"/>
  </w:style>
  <w:style w:type="table" w:customStyle="1" w:styleId="TableNormal">
    <w:name w:val="Table Normal"/>
    <w:rsid w:val="002B4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47E3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normal0">
    <w:name w:val="normal"/>
    <w:rsid w:val="002B47E3"/>
  </w:style>
  <w:style w:type="table" w:customStyle="1" w:styleId="TableNormal0">
    <w:name w:val="Table Normal"/>
    <w:rsid w:val="002B4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2B47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0IngHTjFYxi9dV85ags+SqJUTw==">AMUW2mV4+Fkl1IwyZtFSaOh0+gIeIjyteu90xRUmJJbQrD2n1RnM2S5wN/PSgvaXzhvOtV9zGprjK+ZjcXNciDrk8TaDJT+FqEDXHPLIog+iZ2ZyPO/1FzUeUYwj/jVKsPiQLq13WRy7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de Costa Remor</dc:creator>
  <cp:lastModifiedBy>remorlc</cp:lastModifiedBy>
  <cp:revision>2</cp:revision>
  <dcterms:created xsi:type="dcterms:W3CDTF">2021-11-30T20:40:00Z</dcterms:created>
  <dcterms:modified xsi:type="dcterms:W3CDTF">2021-11-30T20:40:00Z</dcterms:modified>
</cp:coreProperties>
</file>