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8" w:type="dxa"/>
        <w:tblInd w:w="70" w:type="dxa"/>
        <w:tblCellMar>
          <w:left w:w="70" w:type="dxa"/>
          <w:right w:w="70" w:type="dxa"/>
        </w:tblCellMar>
        <w:tblLook w:val="0000" w:firstRow="0" w:lastRow="0" w:firstColumn="0" w:lastColumn="0" w:noHBand="0" w:noVBand="0"/>
      </w:tblPr>
      <w:tblGrid>
        <w:gridCol w:w="1151"/>
        <w:gridCol w:w="7867"/>
      </w:tblGrid>
      <w:tr w:rsidR="00003722" w:rsidRPr="006C3B12" w14:paraId="7881FDE8" w14:textId="77777777" w:rsidTr="00340BC3">
        <w:trPr>
          <w:trHeight w:val="1270"/>
        </w:trPr>
        <w:tc>
          <w:tcPr>
            <w:tcW w:w="1151" w:type="dxa"/>
            <w:vAlign w:val="center"/>
          </w:tcPr>
          <w:p w14:paraId="4BDBB310" w14:textId="578F3521" w:rsidR="00003722" w:rsidRPr="006C3B12" w:rsidRDefault="00CB22B9">
            <w:pPr>
              <w:pStyle w:val="Ttulo11"/>
              <w:rPr>
                <w:rFonts w:ascii="Arial" w:hAnsi="Arial" w:cs="Arial"/>
                <w:sz w:val="22"/>
                <w:szCs w:val="22"/>
              </w:rPr>
            </w:pPr>
            <w:r>
              <w:rPr>
                <w:noProof/>
                <w:lang w:val="pt-BR" w:eastAsia="pt-BR"/>
              </w:rPr>
              <mc:AlternateContent>
                <mc:Choice Requires="wps">
                  <w:drawing>
                    <wp:anchor distT="0" distB="0" distL="114300" distR="114300" simplePos="0" relativeHeight="251657216" behindDoc="0" locked="0" layoutInCell="1" allowOverlap="1" wp14:anchorId="770BD770" wp14:editId="18FA5B59">
                      <wp:simplePos x="0" y="0"/>
                      <wp:positionH relativeFrom="column">
                        <wp:posOffset>0</wp:posOffset>
                      </wp:positionH>
                      <wp:positionV relativeFrom="paragraph">
                        <wp:posOffset>0</wp:posOffset>
                      </wp:positionV>
                      <wp:extent cx="635000" cy="635000"/>
                      <wp:effectExtent l="0" t="0" r="3175" b="3175"/>
                      <wp:wrapNone/>
                      <wp:docPr id="1"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E298" id="shapetype_7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Sm856QEAAMUDAAAOAAAAAAAAAAAAAAAAAC4CAABkcnMvZTJvRG9jLnhtbFBLAQIt&#10;ABQABgAIAAAAIQCGW4fV2AAAAAUBAAAPAAAAAAAAAAAAAAAAAEMEAABkcnMvZG93bnJldi54bWxQ&#10;SwUGAAAAAAQABADzAAAASAUAAAAA&#10;" filled="f" stroked="f">
                      <o:lock v:ext="edit" aspectratio="t" selection="t"/>
                    </v:rect>
                  </w:pict>
                </mc:Fallback>
              </mc:AlternateContent>
            </w:r>
            <w:r w:rsidR="008519D4">
              <w:rPr>
                <w:noProof/>
                <w:lang w:val="pt-BR" w:eastAsia="pt-BR"/>
              </w:rPr>
              <w:drawing>
                <wp:anchor distT="0" distB="0" distL="114300" distR="114300" simplePos="0" relativeHeight="251658240" behindDoc="0" locked="0" layoutInCell="1" allowOverlap="1" wp14:anchorId="1C54D475" wp14:editId="7D674E36">
                  <wp:simplePos x="0" y="0"/>
                  <wp:positionH relativeFrom="column">
                    <wp:posOffset>0</wp:posOffset>
                  </wp:positionH>
                  <wp:positionV relativeFrom="paragraph">
                    <wp:align>top</wp:align>
                  </wp:positionV>
                  <wp:extent cx="646430" cy="640715"/>
                  <wp:effectExtent l="19050" t="0" r="127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646430" cy="640715"/>
                          </a:xfrm>
                          <a:prstGeom prst="rect">
                            <a:avLst/>
                          </a:prstGeom>
                          <a:noFill/>
                          <a:ln w="9525">
                            <a:round/>
                            <a:headEnd/>
                            <a:tailEnd/>
                          </a:ln>
                        </pic:spPr>
                      </pic:pic>
                    </a:graphicData>
                  </a:graphic>
                </wp:anchor>
              </w:drawing>
            </w:r>
          </w:p>
        </w:tc>
        <w:tc>
          <w:tcPr>
            <w:tcW w:w="7867" w:type="dxa"/>
            <w:vAlign w:val="center"/>
          </w:tcPr>
          <w:p w14:paraId="467155DD" w14:textId="77777777" w:rsidR="00003722" w:rsidRPr="006C3B12" w:rsidRDefault="00003722">
            <w:pPr>
              <w:pStyle w:val="Cabealho1"/>
              <w:snapToGrid w:val="0"/>
              <w:jc w:val="both"/>
              <w:rPr>
                <w:rFonts w:ascii="Arial" w:hAnsi="Arial" w:cs="Arial"/>
              </w:rPr>
            </w:pPr>
          </w:p>
          <w:p w14:paraId="04F7CC17" w14:textId="77777777" w:rsidR="00003722" w:rsidRPr="006C3B12" w:rsidRDefault="00003722">
            <w:pPr>
              <w:pStyle w:val="Cabealho1"/>
              <w:jc w:val="both"/>
              <w:rPr>
                <w:rFonts w:ascii="Arial" w:hAnsi="Arial" w:cs="Arial"/>
                <w:sz w:val="20"/>
                <w:szCs w:val="20"/>
              </w:rPr>
            </w:pPr>
            <w:r w:rsidRPr="006C3B12">
              <w:rPr>
                <w:rFonts w:ascii="Arial" w:hAnsi="Arial" w:cs="Arial"/>
                <w:sz w:val="20"/>
                <w:szCs w:val="20"/>
              </w:rPr>
              <w:t>GOVERNO DE SANTA CATARINA</w:t>
            </w:r>
          </w:p>
          <w:p w14:paraId="315D48CD" w14:textId="77777777" w:rsidR="00003722" w:rsidRPr="006C3B12" w:rsidRDefault="00003722">
            <w:pPr>
              <w:pStyle w:val="Ttulo11"/>
              <w:rPr>
                <w:rFonts w:ascii="Arial" w:hAnsi="Arial" w:cs="Arial"/>
                <w:lang w:val="pt-BR"/>
              </w:rPr>
            </w:pPr>
            <w:r w:rsidRPr="006C3B12">
              <w:rPr>
                <w:rFonts w:ascii="Arial" w:hAnsi="Arial" w:cs="Arial"/>
                <w:lang w:val="pt-BR"/>
              </w:rPr>
              <w:t>Secretaria de Estado da Saúde</w:t>
            </w:r>
          </w:p>
          <w:p w14:paraId="62BEAE06" w14:textId="77777777" w:rsidR="00003722" w:rsidRPr="006C3B12" w:rsidRDefault="00003722">
            <w:pPr>
              <w:pStyle w:val="Cabealho1"/>
              <w:jc w:val="both"/>
              <w:rPr>
                <w:rFonts w:ascii="Arial" w:hAnsi="Arial" w:cs="Arial"/>
                <w:sz w:val="20"/>
                <w:szCs w:val="20"/>
              </w:rPr>
            </w:pPr>
            <w:r w:rsidRPr="006C3B12">
              <w:rPr>
                <w:rFonts w:ascii="Arial" w:hAnsi="Arial" w:cs="Arial"/>
                <w:sz w:val="20"/>
                <w:szCs w:val="20"/>
              </w:rPr>
              <w:t>Comissão Intergestores Bipartite</w:t>
            </w:r>
          </w:p>
          <w:p w14:paraId="4826F5F2" w14:textId="77777777" w:rsidR="00003722" w:rsidRPr="006C3B12" w:rsidRDefault="00003722">
            <w:pPr>
              <w:pStyle w:val="Cabealho1"/>
              <w:jc w:val="both"/>
              <w:rPr>
                <w:rFonts w:ascii="Arial" w:hAnsi="Arial" w:cs="Arial"/>
              </w:rPr>
            </w:pPr>
          </w:p>
          <w:p w14:paraId="19B60F9F" w14:textId="77777777" w:rsidR="00003722" w:rsidRPr="006C3B12" w:rsidRDefault="00003722">
            <w:pPr>
              <w:pStyle w:val="Cabealho1"/>
              <w:jc w:val="both"/>
              <w:rPr>
                <w:rFonts w:ascii="Arial" w:hAnsi="Arial" w:cs="Arial"/>
              </w:rPr>
            </w:pPr>
          </w:p>
        </w:tc>
      </w:tr>
    </w:tbl>
    <w:p w14:paraId="2DF6A17F" w14:textId="77777777" w:rsidR="00003722" w:rsidRPr="006C3B12" w:rsidRDefault="00003722">
      <w:pPr>
        <w:pStyle w:val="Ttulo31"/>
        <w:spacing w:line="360" w:lineRule="auto"/>
        <w:jc w:val="both"/>
        <w:rPr>
          <w:rFonts w:ascii="Arial" w:hAnsi="Arial" w:cs="Arial"/>
          <w:color w:val="000000"/>
        </w:rPr>
      </w:pPr>
      <w:r w:rsidRPr="006C3B12">
        <w:rPr>
          <w:rFonts w:ascii="Arial" w:hAnsi="Arial" w:cs="Arial"/>
          <w:color w:val="000000"/>
        </w:rPr>
        <w:t xml:space="preserve">             </w:t>
      </w:r>
      <w:r w:rsidR="00CD31C5">
        <w:rPr>
          <w:rFonts w:ascii="Arial" w:hAnsi="Arial" w:cs="Arial"/>
          <w:color w:val="000000"/>
        </w:rPr>
        <w:t xml:space="preserve">                 DELIBERAÇÃO 00</w:t>
      </w:r>
      <w:r w:rsidR="00C87CA2">
        <w:rPr>
          <w:rFonts w:ascii="Arial" w:hAnsi="Arial" w:cs="Arial"/>
          <w:color w:val="000000"/>
        </w:rPr>
        <w:t>8</w:t>
      </w:r>
      <w:r w:rsidR="00CD31C5">
        <w:rPr>
          <w:rFonts w:ascii="Arial" w:hAnsi="Arial" w:cs="Arial"/>
          <w:color w:val="000000"/>
        </w:rPr>
        <w:t>/CIB/2021</w:t>
      </w:r>
    </w:p>
    <w:p w14:paraId="699E547C" w14:textId="77777777" w:rsidR="00B70B8D" w:rsidRPr="00CB22B9" w:rsidRDefault="00B70B8D" w:rsidP="00B70B8D">
      <w:pPr>
        <w:suppressAutoHyphens w:val="0"/>
        <w:autoSpaceDE w:val="0"/>
        <w:autoSpaceDN w:val="0"/>
        <w:adjustRightInd w:val="0"/>
        <w:rPr>
          <w:rFonts w:ascii="Arial" w:eastAsia="Calibri" w:hAnsi="Arial" w:cs="Arial"/>
          <w:lang w:eastAsia="pt-BR"/>
        </w:rPr>
      </w:pPr>
      <w:r w:rsidRPr="00CB22B9">
        <w:rPr>
          <w:rFonts w:ascii="Arial" w:eastAsia="Calibri" w:hAnsi="Arial" w:cs="Arial"/>
          <w:lang w:eastAsia="pt-BR"/>
        </w:rPr>
        <w:t>Comissão Intergestores Bipartite, no uso de suas atribuições,</w:t>
      </w:r>
      <w:r w:rsidR="006B475E" w:rsidRPr="00CB22B9">
        <w:rPr>
          <w:rFonts w:ascii="Arial" w:eastAsia="Calibri" w:hAnsi="Arial" w:cs="Arial"/>
          <w:lang w:eastAsia="pt-BR"/>
        </w:rPr>
        <w:t xml:space="preserve"> </w:t>
      </w:r>
      <w:r w:rsidR="006B475E" w:rsidRPr="00CB22B9">
        <w:rPr>
          <w:rFonts w:ascii="Arial" w:eastAsia="Calibri" w:hAnsi="Arial" w:cs="Arial"/>
          <w:i/>
          <w:lang w:eastAsia="pt-BR"/>
        </w:rPr>
        <w:t>ad referendum</w:t>
      </w:r>
    </w:p>
    <w:p w14:paraId="7A1C0098" w14:textId="77777777" w:rsidR="00003722" w:rsidRDefault="00003722" w:rsidP="005A51A0">
      <w:pPr>
        <w:tabs>
          <w:tab w:val="left" w:pos="7655"/>
        </w:tabs>
        <w:spacing w:line="276" w:lineRule="auto"/>
        <w:ind w:right="-2"/>
        <w:jc w:val="both"/>
        <w:rPr>
          <w:rFonts w:ascii="Calibri" w:hAnsi="Calibri" w:cs="Arial"/>
          <w:b/>
        </w:rPr>
      </w:pPr>
    </w:p>
    <w:p w14:paraId="1F4FC879" w14:textId="77777777" w:rsidR="002B7CDB" w:rsidRPr="009102B3" w:rsidRDefault="002B7CDB" w:rsidP="002B7CDB">
      <w:pPr>
        <w:suppressAutoHyphens w:val="0"/>
        <w:autoSpaceDE w:val="0"/>
        <w:autoSpaceDN w:val="0"/>
        <w:adjustRightInd w:val="0"/>
        <w:ind w:left="567"/>
        <w:rPr>
          <w:rFonts w:ascii="Arial" w:hAnsi="Arial" w:cs="Arial"/>
        </w:rPr>
      </w:pPr>
      <w:r w:rsidRPr="009102B3">
        <w:rPr>
          <w:rFonts w:ascii="Arial" w:hAnsi="Arial" w:cs="Arial"/>
        </w:rPr>
        <w:t>Considerando a necessidade de adoção de estratégia para diminuição de demandas eletivas cirúrgicas;</w:t>
      </w:r>
    </w:p>
    <w:p w14:paraId="52CA8A2B" w14:textId="77777777" w:rsidR="002B7CDB" w:rsidRPr="009102B3" w:rsidRDefault="002B7CDB" w:rsidP="002B7CDB">
      <w:pPr>
        <w:pStyle w:val="NormalWeb"/>
        <w:shd w:val="clear" w:color="auto" w:fill="FFFFFF"/>
        <w:spacing w:before="180" w:after="120"/>
        <w:ind w:left="567"/>
        <w:jc w:val="both"/>
        <w:rPr>
          <w:rFonts w:ascii="Arial" w:hAnsi="Arial" w:cs="Arial"/>
        </w:rPr>
      </w:pPr>
      <w:r w:rsidRPr="009102B3">
        <w:rPr>
          <w:rFonts w:ascii="Arial" w:hAnsi="Arial" w:cs="Arial"/>
        </w:rPr>
        <w:t>Considerando que cabe às instâncias gestoras do SUS proporcionar o acesso da população aos serviços de saúde, respeitando também o equilíbrio financeiro dos contratos firmados com as instituições de saúde parceiras na consecução dos serviços SUS;</w:t>
      </w:r>
    </w:p>
    <w:p w14:paraId="3F238703" w14:textId="77777777" w:rsidR="002B7CDB" w:rsidRPr="009102B3" w:rsidRDefault="002B7CDB" w:rsidP="002B7CDB">
      <w:pPr>
        <w:pStyle w:val="NormalWeb"/>
        <w:shd w:val="clear" w:color="auto" w:fill="FFFFFF"/>
        <w:spacing w:before="180" w:after="120"/>
        <w:ind w:left="567"/>
        <w:jc w:val="both"/>
        <w:rPr>
          <w:rFonts w:ascii="Arial" w:hAnsi="Arial" w:cs="Arial"/>
        </w:rPr>
      </w:pPr>
      <w:r w:rsidRPr="009102B3">
        <w:rPr>
          <w:rFonts w:ascii="Arial" w:hAnsi="Arial" w:cs="Arial"/>
        </w:rPr>
        <w:t>Considerando o número de procedimentos com maior tempo em fila de espera nas Centrais de Regulação Macrorregionais do Estado;</w:t>
      </w:r>
    </w:p>
    <w:p w14:paraId="50FF4D70" w14:textId="77777777" w:rsidR="002B7CDB" w:rsidRPr="009102B3" w:rsidRDefault="002B7CDB" w:rsidP="002B7CDB">
      <w:pPr>
        <w:pStyle w:val="NormalWeb"/>
        <w:shd w:val="clear" w:color="auto" w:fill="FFFFFF"/>
        <w:spacing w:before="180" w:after="120"/>
        <w:ind w:left="567"/>
        <w:jc w:val="both"/>
        <w:rPr>
          <w:rFonts w:ascii="Arial" w:hAnsi="Arial" w:cs="Arial"/>
        </w:rPr>
      </w:pPr>
      <w:r w:rsidRPr="009102B3">
        <w:rPr>
          <w:rFonts w:ascii="Arial" w:hAnsi="Arial" w:cs="Arial"/>
        </w:rPr>
        <w:t>Considerando a publicação de Portaria GM/MS nº 3.</w:t>
      </w:r>
      <w:r>
        <w:rPr>
          <w:rFonts w:ascii="Arial" w:hAnsi="Arial" w:cs="Arial"/>
        </w:rPr>
        <w:t>641</w:t>
      </w:r>
      <w:r w:rsidRPr="009102B3">
        <w:rPr>
          <w:rFonts w:ascii="Arial" w:hAnsi="Arial" w:cs="Arial"/>
        </w:rPr>
        <w:t xml:space="preserve">, de </w:t>
      </w:r>
      <w:r>
        <w:rPr>
          <w:rFonts w:ascii="Arial" w:hAnsi="Arial" w:cs="Arial"/>
        </w:rPr>
        <w:t>21</w:t>
      </w:r>
      <w:r w:rsidRPr="009102B3">
        <w:rPr>
          <w:rFonts w:ascii="Arial" w:hAnsi="Arial" w:cs="Arial"/>
        </w:rPr>
        <w:t xml:space="preserve"> de dezembro de </w:t>
      </w:r>
      <w:r>
        <w:rPr>
          <w:rFonts w:ascii="Arial" w:hAnsi="Arial" w:cs="Arial"/>
        </w:rPr>
        <w:t>2020</w:t>
      </w:r>
      <w:r w:rsidRPr="009102B3">
        <w:rPr>
          <w:rFonts w:ascii="Arial" w:hAnsi="Arial" w:cs="Arial"/>
        </w:rPr>
        <w:t>, que definiu a estratégia de acesso aos procedimentos cirúrgicos eletivos</w:t>
      </w:r>
      <w:r w:rsidRPr="009102B3">
        <w:rPr>
          <w:rFonts w:ascii="Arial" w:hAnsi="Arial" w:cs="Arial"/>
          <w:b/>
        </w:rPr>
        <w:t xml:space="preserve"> </w:t>
      </w:r>
      <w:r w:rsidRPr="009102B3">
        <w:rPr>
          <w:rFonts w:ascii="Arial" w:hAnsi="Arial" w:cs="Arial"/>
        </w:rPr>
        <w:t>no âmbito do Sistema Único de Saúde</w:t>
      </w:r>
      <w:r>
        <w:rPr>
          <w:rFonts w:ascii="Arial" w:hAnsi="Arial" w:cs="Arial"/>
        </w:rPr>
        <w:t xml:space="preserve"> - </w:t>
      </w:r>
      <w:r w:rsidRPr="009102B3">
        <w:rPr>
          <w:rFonts w:ascii="Arial" w:hAnsi="Arial" w:cs="Arial"/>
        </w:rPr>
        <w:t>SUS para o exercício 202</w:t>
      </w:r>
      <w:r>
        <w:rPr>
          <w:rFonts w:ascii="Arial" w:hAnsi="Arial" w:cs="Arial"/>
        </w:rPr>
        <w:t>1</w:t>
      </w:r>
      <w:r w:rsidRPr="009102B3">
        <w:rPr>
          <w:rFonts w:ascii="Arial" w:hAnsi="Arial" w:cs="Arial"/>
        </w:rPr>
        <w:t xml:space="preserve"> no valor de R$ </w:t>
      </w:r>
      <w:r>
        <w:rPr>
          <w:rFonts w:ascii="Arial" w:hAnsi="Arial" w:cs="Arial"/>
        </w:rPr>
        <w:t>11.932.953,16</w:t>
      </w:r>
      <w:r w:rsidRPr="009102B3">
        <w:rPr>
          <w:rFonts w:ascii="Arial" w:hAnsi="Arial" w:cs="Arial"/>
        </w:rPr>
        <w:t xml:space="preserve">; </w:t>
      </w:r>
    </w:p>
    <w:p w14:paraId="6D4AA93C" w14:textId="77777777" w:rsidR="002B7CDB" w:rsidRPr="009102B3" w:rsidRDefault="002B7CDB" w:rsidP="002B7CDB">
      <w:pPr>
        <w:pStyle w:val="NormalWeb"/>
        <w:shd w:val="clear" w:color="auto" w:fill="FFFFFF"/>
        <w:spacing w:before="180" w:after="120"/>
        <w:ind w:left="567"/>
        <w:jc w:val="both"/>
        <w:rPr>
          <w:rFonts w:ascii="Arial" w:hAnsi="Arial" w:cs="Arial"/>
        </w:rPr>
      </w:pPr>
      <w:r w:rsidRPr="009102B3">
        <w:rPr>
          <w:rFonts w:ascii="Arial" w:hAnsi="Arial" w:cs="Arial"/>
        </w:rPr>
        <w:t xml:space="preserve">Considerando os critérios do </w:t>
      </w:r>
      <w:r>
        <w:rPr>
          <w:rFonts w:ascii="Arial" w:hAnsi="Arial" w:cs="Arial"/>
        </w:rPr>
        <w:t>a</w:t>
      </w:r>
      <w:r w:rsidRPr="009102B3">
        <w:rPr>
          <w:rFonts w:ascii="Arial" w:hAnsi="Arial" w:cs="Arial"/>
        </w:rPr>
        <w:t>rtigo 3º da Portaria GM/MS nº 3.</w:t>
      </w:r>
      <w:r>
        <w:rPr>
          <w:rFonts w:ascii="Arial" w:hAnsi="Arial" w:cs="Arial"/>
        </w:rPr>
        <w:t>641</w:t>
      </w:r>
      <w:r w:rsidRPr="009102B3">
        <w:rPr>
          <w:rFonts w:ascii="Arial" w:hAnsi="Arial" w:cs="Arial"/>
        </w:rPr>
        <w:t>/</w:t>
      </w:r>
      <w:r>
        <w:rPr>
          <w:rFonts w:ascii="Arial" w:hAnsi="Arial" w:cs="Arial"/>
        </w:rPr>
        <w:t>2020</w:t>
      </w:r>
      <w:r w:rsidRPr="009102B3">
        <w:rPr>
          <w:rFonts w:ascii="Arial" w:hAnsi="Arial" w:cs="Arial"/>
        </w:rPr>
        <w:t xml:space="preserve">, que estabelece a meta </w:t>
      </w:r>
      <w:r>
        <w:rPr>
          <w:rFonts w:ascii="Arial" w:hAnsi="Arial" w:cs="Arial"/>
        </w:rPr>
        <w:t xml:space="preserve">física </w:t>
      </w:r>
      <w:r w:rsidRPr="009102B3">
        <w:rPr>
          <w:rFonts w:ascii="Arial" w:hAnsi="Arial" w:cs="Arial"/>
        </w:rPr>
        <w:t>mensal que deverá ser cumprida por cada gestor para que o excedente seja financiado pelo FAEC;</w:t>
      </w:r>
    </w:p>
    <w:p w14:paraId="644B640C" w14:textId="77777777" w:rsidR="002B7CDB" w:rsidRPr="009102B3" w:rsidRDefault="002B7CDB" w:rsidP="002B7CDB">
      <w:pPr>
        <w:spacing w:after="120"/>
        <w:ind w:left="567"/>
        <w:jc w:val="both"/>
        <w:rPr>
          <w:rFonts w:ascii="Arial" w:hAnsi="Arial" w:cs="Arial"/>
        </w:rPr>
      </w:pPr>
      <w:r w:rsidRPr="009102B3">
        <w:rPr>
          <w:rFonts w:ascii="Arial" w:hAnsi="Arial" w:cs="Arial"/>
        </w:rPr>
        <w:t>Considerando o recurso oriundo da Lei Estadual nº 16.968, de 19 de julho de 2016, que instituiu o Fundo Estadual de Apoio aos Hospitais Filantrópicos de Santa Catarina, ao Centro de Hematologia e Hemoterapia de Santa Catarina (HEMOSC), ao Centro de Pesquisas Oncológicas Dr. Alfredo Daura Jorge (CEPON) e aos Hospitais Municipais no valor de R$ 1.916.666,67 por mês;</w:t>
      </w:r>
    </w:p>
    <w:p w14:paraId="3B4A06F0" w14:textId="77777777" w:rsidR="002B7CDB" w:rsidRPr="009102B3" w:rsidRDefault="002B7CDB" w:rsidP="002B7CDB">
      <w:pPr>
        <w:pStyle w:val="NormalWeb"/>
        <w:shd w:val="clear" w:color="auto" w:fill="FFFFFF"/>
        <w:spacing w:before="180" w:after="120"/>
        <w:ind w:left="567"/>
        <w:jc w:val="both"/>
        <w:rPr>
          <w:rFonts w:ascii="Arial" w:hAnsi="Arial" w:cs="Arial"/>
        </w:rPr>
      </w:pPr>
      <w:r w:rsidRPr="009102B3">
        <w:rPr>
          <w:rFonts w:ascii="Arial" w:hAnsi="Arial" w:cs="Arial"/>
        </w:rPr>
        <w:t>Considerando o acordo judicial SES/COSEMS referente aos incentivos financeiros não repassados na vigência da Lei 16.159 de 07 de novembro de 2013 no valor de R$ 583.333,33</w:t>
      </w:r>
      <w:r>
        <w:rPr>
          <w:rFonts w:ascii="Arial" w:hAnsi="Arial" w:cs="Arial"/>
        </w:rPr>
        <w:t>;</w:t>
      </w:r>
    </w:p>
    <w:p w14:paraId="21F8F237" w14:textId="77777777" w:rsidR="002B7CDB" w:rsidRDefault="002B7CDB" w:rsidP="002B7CDB">
      <w:pPr>
        <w:jc w:val="both"/>
        <w:rPr>
          <w:rFonts w:ascii="Arial" w:hAnsi="Arial" w:cs="Arial"/>
        </w:rPr>
      </w:pPr>
    </w:p>
    <w:p w14:paraId="6670F754" w14:textId="77777777" w:rsidR="002B7CDB" w:rsidRPr="009102B3" w:rsidRDefault="002B7CDB" w:rsidP="002B7CDB">
      <w:pPr>
        <w:jc w:val="both"/>
        <w:rPr>
          <w:rFonts w:ascii="Arial" w:hAnsi="Arial" w:cs="Arial"/>
        </w:rPr>
      </w:pPr>
    </w:p>
    <w:p w14:paraId="16CD3912" w14:textId="77777777" w:rsidR="002B7CDB" w:rsidRPr="009102B3" w:rsidRDefault="002B7CDB" w:rsidP="002B7CDB">
      <w:pPr>
        <w:ind w:left="567"/>
        <w:jc w:val="both"/>
        <w:rPr>
          <w:rFonts w:ascii="Arial" w:hAnsi="Arial" w:cs="Arial"/>
          <w:b/>
          <w:bCs/>
        </w:rPr>
      </w:pPr>
      <w:r w:rsidRPr="009102B3">
        <w:rPr>
          <w:rFonts w:ascii="Arial" w:hAnsi="Arial" w:cs="Arial"/>
          <w:b/>
          <w:bCs/>
        </w:rPr>
        <w:t>RESOLVE</w:t>
      </w:r>
    </w:p>
    <w:p w14:paraId="5A131C10" w14:textId="77777777" w:rsidR="002B7CDB" w:rsidRPr="009102B3" w:rsidRDefault="002B7CDB" w:rsidP="002B7CDB">
      <w:pPr>
        <w:ind w:left="567"/>
        <w:jc w:val="both"/>
        <w:rPr>
          <w:rFonts w:ascii="Arial" w:hAnsi="Arial" w:cs="Arial"/>
        </w:rPr>
      </w:pPr>
    </w:p>
    <w:p w14:paraId="2A287851" w14:textId="77777777" w:rsidR="002B7CDB" w:rsidRDefault="002B7CDB" w:rsidP="002B7CDB">
      <w:pPr>
        <w:jc w:val="both"/>
        <w:rPr>
          <w:rFonts w:ascii="Arial" w:hAnsi="Arial" w:cs="Arial"/>
        </w:rPr>
      </w:pPr>
      <w:r w:rsidRPr="000A0D22">
        <w:rPr>
          <w:rFonts w:ascii="Arial" w:hAnsi="Arial" w:cs="Arial"/>
          <w:b/>
        </w:rPr>
        <w:t>Art. 1º</w:t>
      </w:r>
      <w:r>
        <w:rPr>
          <w:rFonts w:ascii="Arial" w:hAnsi="Arial" w:cs="Arial"/>
        </w:rPr>
        <w:t xml:space="preserve"> </w:t>
      </w:r>
      <w:r w:rsidRPr="009102B3">
        <w:rPr>
          <w:rFonts w:ascii="Arial" w:hAnsi="Arial" w:cs="Arial"/>
        </w:rPr>
        <w:t xml:space="preserve">Aprovar a realização da </w:t>
      </w:r>
      <w:r w:rsidRPr="009102B3">
        <w:rPr>
          <w:rFonts w:ascii="Arial" w:hAnsi="Arial" w:cs="Arial"/>
          <w:b/>
        </w:rPr>
        <w:t>Campanha de Cirurgias Eletivas</w:t>
      </w:r>
      <w:r w:rsidRPr="009102B3">
        <w:rPr>
          <w:rFonts w:ascii="Arial" w:hAnsi="Arial" w:cs="Arial"/>
        </w:rPr>
        <w:t>, a desenvolver-se no Estado de Santa Catarina</w:t>
      </w:r>
      <w:r>
        <w:rPr>
          <w:rFonts w:ascii="Arial" w:hAnsi="Arial" w:cs="Arial"/>
        </w:rPr>
        <w:t>.</w:t>
      </w:r>
    </w:p>
    <w:p w14:paraId="6D9C817B" w14:textId="77777777" w:rsidR="002B7CDB" w:rsidRPr="009102B3" w:rsidRDefault="002B7CDB" w:rsidP="002B7CDB">
      <w:pPr>
        <w:jc w:val="both"/>
        <w:rPr>
          <w:rFonts w:ascii="Arial" w:hAnsi="Arial" w:cs="Arial"/>
        </w:rPr>
      </w:pPr>
    </w:p>
    <w:p w14:paraId="28204585" w14:textId="77777777" w:rsidR="002B7CDB" w:rsidRPr="009102B3" w:rsidRDefault="002B7CDB" w:rsidP="002B7CDB">
      <w:pPr>
        <w:ind w:left="375"/>
        <w:jc w:val="center"/>
        <w:rPr>
          <w:rFonts w:ascii="Arial" w:hAnsi="Arial" w:cs="Arial"/>
        </w:rPr>
      </w:pPr>
      <w:r w:rsidRPr="009102B3">
        <w:rPr>
          <w:rFonts w:ascii="Arial" w:hAnsi="Arial" w:cs="Arial"/>
          <w:b/>
        </w:rPr>
        <w:t>DA VALIDADE, GERENCIAMENTO E DO FINANCIAMENTO</w:t>
      </w:r>
    </w:p>
    <w:p w14:paraId="7917C047" w14:textId="77777777" w:rsidR="002B7CDB" w:rsidRPr="009102B3" w:rsidRDefault="002B7CDB" w:rsidP="002B7CDB">
      <w:pPr>
        <w:jc w:val="both"/>
        <w:rPr>
          <w:rFonts w:ascii="Arial" w:hAnsi="Arial" w:cs="Arial"/>
          <w:b/>
        </w:rPr>
      </w:pPr>
    </w:p>
    <w:p w14:paraId="1F385024" w14:textId="77777777" w:rsidR="002B7CDB" w:rsidRDefault="002B7CDB" w:rsidP="002B7CDB">
      <w:pPr>
        <w:jc w:val="both"/>
        <w:rPr>
          <w:rFonts w:ascii="Arial" w:hAnsi="Arial" w:cs="Arial"/>
        </w:rPr>
      </w:pPr>
      <w:r w:rsidRPr="000A0D22">
        <w:rPr>
          <w:rFonts w:ascii="Arial" w:hAnsi="Arial" w:cs="Arial"/>
          <w:b/>
        </w:rPr>
        <w:t>Art. 2º</w:t>
      </w:r>
      <w:r w:rsidRPr="009102B3">
        <w:rPr>
          <w:rFonts w:ascii="Arial" w:hAnsi="Arial" w:cs="Arial"/>
        </w:rPr>
        <w:t xml:space="preserve"> A Programação a ser definida para esta etapa da Campanha de Cirurgias Eletivas em Santa Catarina será correspondente ao período de </w:t>
      </w:r>
      <w:r>
        <w:rPr>
          <w:rFonts w:ascii="Arial" w:hAnsi="Arial" w:cs="Arial"/>
          <w:b/>
          <w:bCs/>
        </w:rPr>
        <w:t xml:space="preserve">janeiro a </w:t>
      </w:r>
      <w:r w:rsidRPr="000A7A64">
        <w:rPr>
          <w:rFonts w:ascii="Arial" w:hAnsi="Arial" w:cs="Arial"/>
          <w:b/>
          <w:bCs/>
        </w:rPr>
        <w:t>dezembro de 202</w:t>
      </w:r>
      <w:r>
        <w:rPr>
          <w:rFonts w:ascii="Arial" w:hAnsi="Arial" w:cs="Arial"/>
          <w:b/>
          <w:bCs/>
        </w:rPr>
        <w:t>1</w:t>
      </w:r>
      <w:r w:rsidRPr="009102B3">
        <w:rPr>
          <w:rFonts w:ascii="Arial" w:hAnsi="Arial" w:cs="Arial"/>
        </w:rPr>
        <w:t xml:space="preserve">. </w:t>
      </w:r>
    </w:p>
    <w:p w14:paraId="4E6741BB" w14:textId="77777777" w:rsidR="002B7CDB" w:rsidRDefault="002B7CDB" w:rsidP="002B7CDB">
      <w:pPr>
        <w:jc w:val="both"/>
        <w:rPr>
          <w:rFonts w:ascii="Arial" w:hAnsi="Arial" w:cs="Arial"/>
        </w:rPr>
      </w:pPr>
    </w:p>
    <w:p w14:paraId="6A5175CD" w14:textId="77777777" w:rsidR="002B7CDB" w:rsidRPr="009102B3" w:rsidRDefault="002B7CDB" w:rsidP="002B7CDB">
      <w:pPr>
        <w:jc w:val="both"/>
        <w:rPr>
          <w:rFonts w:ascii="Arial" w:hAnsi="Arial" w:cs="Arial"/>
          <w:b/>
        </w:rPr>
      </w:pPr>
      <w:r w:rsidRPr="002B7CDB">
        <w:rPr>
          <w:rFonts w:ascii="Arial" w:hAnsi="Arial" w:cs="Arial"/>
          <w:b/>
          <w:bCs/>
        </w:rPr>
        <w:lastRenderedPageBreak/>
        <w:t>Parágrafo único</w:t>
      </w:r>
      <w:r w:rsidRPr="002B7CDB">
        <w:rPr>
          <w:rFonts w:ascii="Arial" w:hAnsi="Arial" w:cs="Arial"/>
        </w:rPr>
        <w:t xml:space="preserve"> – Antes do término previsto no caput, poderá haver revisões, caso sejam identificadas sua necessidade.</w:t>
      </w:r>
    </w:p>
    <w:p w14:paraId="522135A1" w14:textId="77777777" w:rsidR="002B7CDB" w:rsidRPr="009102B3" w:rsidRDefault="002B7CDB" w:rsidP="002B7CDB">
      <w:pPr>
        <w:jc w:val="both"/>
        <w:rPr>
          <w:rFonts w:ascii="Arial" w:hAnsi="Arial" w:cs="Arial"/>
          <w:b/>
        </w:rPr>
      </w:pPr>
    </w:p>
    <w:p w14:paraId="5F133A80" w14:textId="77777777" w:rsidR="002B7CDB" w:rsidRPr="009102B3" w:rsidRDefault="002B7CDB" w:rsidP="002B7CDB">
      <w:pPr>
        <w:jc w:val="both"/>
        <w:rPr>
          <w:rFonts w:ascii="Arial" w:hAnsi="Arial" w:cs="Arial"/>
          <w:b/>
        </w:rPr>
      </w:pPr>
      <w:r w:rsidRPr="000A0D22">
        <w:rPr>
          <w:rFonts w:ascii="Arial" w:hAnsi="Arial" w:cs="Arial"/>
          <w:b/>
        </w:rPr>
        <w:t>Art. 3º</w:t>
      </w:r>
      <w:r w:rsidRPr="009102B3">
        <w:rPr>
          <w:rFonts w:ascii="Arial" w:hAnsi="Arial" w:cs="Arial"/>
        </w:rPr>
        <w:t xml:space="preserve"> - A Campanha de Cirurgias Eletivas será gerenciada pela Secretaria de Estado de Saúde</w:t>
      </w:r>
      <w:r>
        <w:rPr>
          <w:rFonts w:ascii="Arial" w:hAnsi="Arial" w:cs="Arial"/>
        </w:rPr>
        <w:t xml:space="preserve"> - </w:t>
      </w:r>
      <w:r w:rsidRPr="009102B3">
        <w:rPr>
          <w:rFonts w:ascii="Arial" w:hAnsi="Arial" w:cs="Arial"/>
        </w:rPr>
        <w:t xml:space="preserve">SES, acompanhada pelas Comissões Intergestoras Regionais </w:t>
      </w:r>
      <w:r>
        <w:rPr>
          <w:rFonts w:ascii="Arial" w:hAnsi="Arial" w:cs="Arial"/>
        </w:rPr>
        <w:t xml:space="preserve">– CIR </w:t>
      </w:r>
      <w:r w:rsidRPr="009102B3">
        <w:rPr>
          <w:rFonts w:ascii="Arial" w:hAnsi="Arial" w:cs="Arial"/>
        </w:rPr>
        <w:t xml:space="preserve">e </w:t>
      </w:r>
      <w:r>
        <w:rPr>
          <w:rFonts w:ascii="Arial" w:hAnsi="Arial" w:cs="Arial"/>
        </w:rPr>
        <w:t>pela Comissão Intergestores Bipartite - CIB</w:t>
      </w:r>
      <w:r w:rsidRPr="009102B3">
        <w:rPr>
          <w:rFonts w:ascii="Arial" w:hAnsi="Arial" w:cs="Arial"/>
        </w:rPr>
        <w:t>.</w:t>
      </w:r>
    </w:p>
    <w:p w14:paraId="7FB8389B" w14:textId="77777777" w:rsidR="002B7CDB" w:rsidRPr="009102B3" w:rsidRDefault="002B7CDB" w:rsidP="002B7CDB">
      <w:pPr>
        <w:jc w:val="both"/>
        <w:rPr>
          <w:rFonts w:ascii="Arial" w:hAnsi="Arial" w:cs="Arial"/>
          <w:b/>
        </w:rPr>
      </w:pPr>
    </w:p>
    <w:p w14:paraId="59609907" w14:textId="77777777" w:rsidR="002B7CDB" w:rsidRPr="009102B3" w:rsidRDefault="002B7CDB" w:rsidP="002B7CDB">
      <w:pPr>
        <w:jc w:val="both"/>
        <w:rPr>
          <w:rFonts w:ascii="Arial" w:hAnsi="Arial" w:cs="Arial"/>
        </w:rPr>
      </w:pPr>
      <w:r w:rsidRPr="000A0D22">
        <w:rPr>
          <w:rFonts w:ascii="Arial" w:hAnsi="Arial" w:cs="Arial"/>
          <w:b/>
        </w:rPr>
        <w:t>Art. 4º</w:t>
      </w:r>
      <w:r w:rsidRPr="009102B3">
        <w:rPr>
          <w:rFonts w:ascii="Arial" w:hAnsi="Arial" w:cs="Arial"/>
        </w:rPr>
        <w:t xml:space="preserve"> - Para esta Campanha não haverá divisão de cota per capita, as cotas estarão livres no SISREG e Sistema de Controle AC para livre demanda na solicitação dos municípios do Estado.</w:t>
      </w:r>
    </w:p>
    <w:p w14:paraId="69DB9228" w14:textId="77777777" w:rsidR="002B7CDB" w:rsidRPr="009102B3" w:rsidRDefault="002B7CDB" w:rsidP="002B7CDB">
      <w:pPr>
        <w:jc w:val="both"/>
        <w:rPr>
          <w:rFonts w:ascii="Arial" w:hAnsi="Arial" w:cs="Arial"/>
        </w:rPr>
      </w:pPr>
    </w:p>
    <w:p w14:paraId="278308F6" w14:textId="77777777" w:rsidR="002B7CDB" w:rsidRPr="009102B3" w:rsidRDefault="002B7CDB" w:rsidP="002B7CDB">
      <w:pPr>
        <w:jc w:val="both"/>
        <w:rPr>
          <w:rFonts w:ascii="Arial" w:hAnsi="Arial" w:cs="Arial"/>
        </w:rPr>
      </w:pPr>
      <w:r w:rsidRPr="000A0D22">
        <w:rPr>
          <w:rFonts w:ascii="Arial" w:hAnsi="Arial" w:cs="Arial"/>
          <w:b/>
        </w:rPr>
        <w:t>Art. 5º</w:t>
      </w:r>
      <w:r w:rsidRPr="009102B3">
        <w:rPr>
          <w:rFonts w:ascii="Arial" w:hAnsi="Arial" w:cs="Arial"/>
        </w:rPr>
        <w:t xml:space="preserve"> - O Estado se propõe a custear os procedimentos desta Campanha, até o com o limite financeiro mensal de R$ 2.500.000,00</w:t>
      </w:r>
      <w:r>
        <w:rPr>
          <w:rFonts w:ascii="Arial" w:hAnsi="Arial" w:cs="Arial"/>
        </w:rPr>
        <w:t xml:space="preserve">, </w:t>
      </w:r>
      <w:r w:rsidRPr="00F17A2C">
        <w:rPr>
          <w:rFonts w:ascii="Arial" w:hAnsi="Arial" w:cs="Arial"/>
        </w:rPr>
        <w:t>com recursos estaduais oriundos do Fundo Estadual de Apoio aos Hospitais Filantrópicos de Santa Catarina, ao Centro de Hematologia e Hemoterapia de Santa Catarina (HEMOSC), ao Centro de Pesquisas Oncológicas Dr. Alfredo Daura Jorge (CEPON) e aos Hospitais Municipais</w:t>
      </w:r>
      <w:r w:rsidRPr="009102B3">
        <w:rPr>
          <w:rFonts w:ascii="Arial" w:hAnsi="Arial" w:cs="Arial"/>
        </w:rPr>
        <w:t>.</w:t>
      </w:r>
    </w:p>
    <w:p w14:paraId="68FB8594" w14:textId="77777777" w:rsidR="002B7CDB" w:rsidRPr="009102B3" w:rsidRDefault="002B7CDB" w:rsidP="002B7CDB">
      <w:pPr>
        <w:jc w:val="both"/>
        <w:rPr>
          <w:rFonts w:ascii="Arial" w:hAnsi="Arial" w:cs="Arial"/>
          <w:b/>
        </w:rPr>
      </w:pPr>
    </w:p>
    <w:p w14:paraId="14407228" w14:textId="77777777" w:rsidR="002B7CDB" w:rsidRPr="009102B3" w:rsidRDefault="002B7CDB" w:rsidP="002B7CDB">
      <w:pPr>
        <w:jc w:val="both"/>
        <w:rPr>
          <w:rFonts w:ascii="Arial" w:hAnsi="Arial" w:cs="Arial"/>
          <w:b/>
        </w:rPr>
      </w:pPr>
      <w:r w:rsidRPr="000A0D22">
        <w:rPr>
          <w:rFonts w:ascii="Arial" w:hAnsi="Arial" w:cs="Arial"/>
          <w:b/>
        </w:rPr>
        <w:t>Art. 6º</w:t>
      </w:r>
      <w:r w:rsidRPr="009102B3">
        <w:rPr>
          <w:rFonts w:ascii="Arial" w:hAnsi="Arial" w:cs="Arial"/>
        </w:rPr>
        <w:t xml:space="preserve"> - Os recursos estabelecidos na Portaria GM/MS nº 3.</w:t>
      </w:r>
      <w:r>
        <w:rPr>
          <w:rFonts w:ascii="Arial" w:hAnsi="Arial" w:cs="Arial"/>
        </w:rPr>
        <w:t>641/2020</w:t>
      </w:r>
      <w:r w:rsidRPr="009102B3">
        <w:rPr>
          <w:rFonts w:ascii="Arial" w:hAnsi="Arial" w:cs="Arial"/>
        </w:rPr>
        <w:t xml:space="preserve"> serão programados</w:t>
      </w:r>
      <w:r>
        <w:rPr>
          <w:rFonts w:ascii="Arial" w:hAnsi="Arial" w:cs="Arial"/>
        </w:rPr>
        <w:t>, conforme Anexo II,</w:t>
      </w:r>
      <w:r w:rsidRPr="009102B3">
        <w:rPr>
          <w:rFonts w:ascii="Arial" w:hAnsi="Arial" w:cs="Arial"/>
        </w:rPr>
        <w:t xml:space="preserve"> e encaminhados ao Ministério da Saúde. </w:t>
      </w:r>
    </w:p>
    <w:p w14:paraId="076837E2" w14:textId="77777777" w:rsidR="002B7CDB" w:rsidRPr="009102B3" w:rsidRDefault="002B7CDB" w:rsidP="002B7CDB">
      <w:pPr>
        <w:jc w:val="both"/>
        <w:rPr>
          <w:rFonts w:ascii="Arial" w:hAnsi="Arial" w:cs="Arial"/>
          <w:b/>
        </w:rPr>
      </w:pPr>
    </w:p>
    <w:p w14:paraId="44349A4A" w14:textId="77777777" w:rsidR="002B7CDB" w:rsidRDefault="002B7CDB" w:rsidP="002B7CDB">
      <w:pPr>
        <w:jc w:val="both"/>
        <w:rPr>
          <w:rFonts w:ascii="Arial" w:hAnsi="Arial" w:cs="Arial"/>
        </w:rPr>
      </w:pPr>
      <w:r w:rsidRPr="000A0D22">
        <w:rPr>
          <w:rFonts w:ascii="Arial" w:hAnsi="Arial" w:cs="Arial"/>
          <w:b/>
        </w:rPr>
        <w:t>Art. 7º</w:t>
      </w:r>
      <w:r w:rsidRPr="009102B3">
        <w:rPr>
          <w:rFonts w:ascii="Arial" w:hAnsi="Arial" w:cs="Arial"/>
        </w:rPr>
        <w:t xml:space="preserve"> - </w:t>
      </w:r>
      <w:r w:rsidRPr="00342D5A">
        <w:rPr>
          <w:rFonts w:ascii="Arial" w:hAnsi="Arial" w:cs="Arial"/>
        </w:rPr>
        <w:t xml:space="preserve">Encontro de Contas será realizado mensalmente por meio da produção aprovada pelo DATASUS, assim que as bases de dados mensais estiverem à disposição para tabulação no mês de processamento. A Gerência de Controle e Avaliação do Sistema - GECOA fará os relatórios de pagamento e encaminhará para a Gerência de Orçamento - GEROR para consolidar o pagamento. </w:t>
      </w:r>
    </w:p>
    <w:p w14:paraId="310FE3C6" w14:textId="77777777" w:rsidR="002B7CDB" w:rsidRDefault="002B7CDB" w:rsidP="002B7CDB">
      <w:pPr>
        <w:jc w:val="both"/>
        <w:rPr>
          <w:rFonts w:ascii="Arial" w:hAnsi="Arial" w:cs="Arial"/>
        </w:rPr>
      </w:pPr>
    </w:p>
    <w:p w14:paraId="49A1E311" w14:textId="704A2787" w:rsidR="002B7CDB" w:rsidRPr="002B7CDB" w:rsidRDefault="002B7CDB" w:rsidP="002B7CDB">
      <w:pPr>
        <w:jc w:val="both"/>
        <w:rPr>
          <w:rFonts w:ascii="Arial" w:hAnsi="Arial" w:cs="Arial"/>
          <w:bCs/>
        </w:rPr>
      </w:pPr>
      <w:r w:rsidRPr="002B7CDB">
        <w:rPr>
          <w:rFonts w:ascii="Arial" w:hAnsi="Arial" w:cs="Arial"/>
          <w:b/>
          <w:bCs/>
        </w:rPr>
        <w:t>Parágrafo único</w:t>
      </w:r>
      <w:r w:rsidRPr="002B7CDB">
        <w:rPr>
          <w:rFonts w:ascii="Arial" w:hAnsi="Arial" w:cs="Arial"/>
        </w:rPr>
        <w:t xml:space="preserve"> - Reapresentações de produção </w:t>
      </w:r>
      <w:r w:rsidR="00CB22B9">
        <w:rPr>
          <w:rFonts w:ascii="Arial" w:hAnsi="Arial" w:cs="Arial"/>
        </w:rPr>
        <w:t xml:space="preserve">por perda de prazo </w:t>
      </w:r>
      <w:r w:rsidRPr="002B7CDB">
        <w:rPr>
          <w:rFonts w:ascii="Arial" w:hAnsi="Arial" w:cs="Arial"/>
        </w:rPr>
        <w:t xml:space="preserve">não serão aceitas, outros casos de produção não processadas deverão ser avaliados na Câmara Técnica de Gestão para encaminhamento ou não ao ressarcimento. </w:t>
      </w:r>
    </w:p>
    <w:p w14:paraId="6290EF98" w14:textId="77777777" w:rsidR="002B7CDB" w:rsidRPr="002B7CDB" w:rsidRDefault="002B7CDB" w:rsidP="002B7CDB">
      <w:pPr>
        <w:jc w:val="both"/>
        <w:rPr>
          <w:rFonts w:ascii="Arial" w:hAnsi="Arial" w:cs="Arial"/>
        </w:rPr>
      </w:pPr>
    </w:p>
    <w:p w14:paraId="08AEBE84" w14:textId="77777777" w:rsidR="000B6096" w:rsidRDefault="002B7CDB" w:rsidP="002B7CDB">
      <w:pPr>
        <w:jc w:val="both"/>
        <w:rPr>
          <w:rFonts w:ascii="Arial" w:hAnsi="Arial" w:cs="Arial"/>
        </w:rPr>
      </w:pPr>
      <w:r w:rsidRPr="002B7CDB">
        <w:rPr>
          <w:rFonts w:ascii="Arial" w:hAnsi="Arial" w:cs="Arial"/>
          <w:b/>
        </w:rPr>
        <w:t>Art. 8º</w:t>
      </w:r>
      <w:r w:rsidRPr="002B7CDB">
        <w:rPr>
          <w:rFonts w:ascii="Arial" w:hAnsi="Arial" w:cs="Arial"/>
        </w:rPr>
        <w:t xml:space="preserve"> - O Encontro de Contas tanto servirá para identificar déficit como superávit. Mensalmente a GECOA identificará no Encontro de Contas dos Gestores previstos no Anexo II, o saldo utilizado da Portaria GM/MS nº 3.641/2020</w:t>
      </w:r>
      <w:r w:rsidR="000B6096">
        <w:rPr>
          <w:rFonts w:ascii="Arial" w:hAnsi="Arial" w:cs="Arial"/>
        </w:rPr>
        <w:t>.</w:t>
      </w:r>
    </w:p>
    <w:p w14:paraId="7AF09DE5" w14:textId="77777777" w:rsidR="002B7CDB" w:rsidRPr="002B7CDB" w:rsidRDefault="002B7CDB" w:rsidP="002B7CDB">
      <w:pPr>
        <w:jc w:val="both"/>
        <w:rPr>
          <w:rFonts w:ascii="Arial" w:hAnsi="Arial" w:cs="Arial"/>
        </w:rPr>
      </w:pPr>
    </w:p>
    <w:p w14:paraId="7BE65F09" w14:textId="77777777" w:rsidR="002B7CDB" w:rsidRPr="002B7CDB" w:rsidRDefault="002B7CDB" w:rsidP="002B7CDB">
      <w:pPr>
        <w:jc w:val="both"/>
        <w:rPr>
          <w:rFonts w:ascii="Arial" w:hAnsi="Arial" w:cs="Arial"/>
        </w:rPr>
      </w:pPr>
      <w:r w:rsidRPr="002B7CDB">
        <w:rPr>
          <w:rFonts w:ascii="Arial" w:hAnsi="Arial" w:cs="Arial"/>
          <w:b/>
          <w:bCs/>
        </w:rPr>
        <w:t>Parágrafo único</w:t>
      </w:r>
      <w:r w:rsidRPr="002B7CDB">
        <w:rPr>
          <w:rFonts w:ascii="Arial" w:hAnsi="Arial" w:cs="Arial"/>
        </w:rPr>
        <w:t xml:space="preserve"> - </w:t>
      </w:r>
      <w:r w:rsidRPr="002B7CDB">
        <w:rPr>
          <w:rFonts w:ascii="Arial" w:hAnsi="Arial" w:cs="Arial"/>
          <w:bCs/>
        </w:rPr>
        <w:t>Trimestralmente o saldo será avaliado, caso o ente que tiver programação não estiver produzindo nesse período, será notificado ao Ministério da Saúde através de Deliberação CIB para remanejamento do seu Teto aos entes que estiverem produzindo, conforme critério de distribuição a ser definido pela CIB.</w:t>
      </w:r>
    </w:p>
    <w:p w14:paraId="4FD8DE6B" w14:textId="77777777" w:rsidR="002B7CDB" w:rsidRPr="002B7CDB" w:rsidRDefault="002B7CDB" w:rsidP="002B7CDB">
      <w:pPr>
        <w:jc w:val="both"/>
        <w:rPr>
          <w:rFonts w:ascii="Arial" w:hAnsi="Arial" w:cs="Arial"/>
          <w:b/>
        </w:rPr>
      </w:pPr>
    </w:p>
    <w:p w14:paraId="4DD99C57" w14:textId="77777777" w:rsidR="002B7CDB" w:rsidRPr="009102B3" w:rsidRDefault="002B7CDB" w:rsidP="002B7CDB">
      <w:pPr>
        <w:jc w:val="both"/>
        <w:rPr>
          <w:rFonts w:ascii="Arial" w:hAnsi="Arial" w:cs="Arial"/>
        </w:rPr>
      </w:pPr>
      <w:r w:rsidRPr="002B7CDB">
        <w:rPr>
          <w:rFonts w:ascii="Arial" w:hAnsi="Arial" w:cs="Arial"/>
          <w:b/>
        </w:rPr>
        <w:t>Art. 9º</w:t>
      </w:r>
      <w:r w:rsidRPr="002B7CDB">
        <w:rPr>
          <w:rFonts w:ascii="Arial" w:hAnsi="Arial" w:cs="Arial"/>
        </w:rPr>
        <w:t xml:space="preserve"> - Os procedimentos não integrantes da Campanha Federal, assim como os prêmios do Estado superiores a tabela SUS para os procedimentos federais, serão ressarcidos pelos recursos estaduais desta deliberação, por meio dos</w:t>
      </w:r>
      <w:r w:rsidRPr="009102B3">
        <w:rPr>
          <w:rFonts w:ascii="Arial" w:hAnsi="Arial" w:cs="Arial"/>
        </w:rPr>
        <w:t xml:space="preserve"> Encontros de Contas.</w:t>
      </w:r>
      <w:r>
        <w:rPr>
          <w:rFonts w:ascii="Arial" w:hAnsi="Arial" w:cs="Arial"/>
        </w:rPr>
        <w:t xml:space="preserve"> </w:t>
      </w:r>
    </w:p>
    <w:p w14:paraId="304F9DE8" w14:textId="77777777" w:rsidR="002B7CDB" w:rsidRPr="009102B3" w:rsidRDefault="002B7CDB" w:rsidP="002B7CDB">
      <w:pPr>
        <w:jc w:val="both"/>
        <w:rPr>
          <w:rFonts w:ascii="Arial" w:hAnsi="Arial" w:cs="Arial"/>
        </w:rPr>
      </w:pPr>
    </w:p>
    <w:p w14:paraId="7969A11F" w14:textId="77777777" w:rsidR="002B7CDB" w:rsidRDefault="002B7CDB" w:rsidP="002B7CDB">
      <w:pPr>
        <w:jc w:val="both"/>
        <w:rPr>
          <w:rFonts w:ascii="Arial" w:hAnsi="Arial" w:cs="Arial"/>
        </w:rPr>
      </w:pPr>
      <w:r w:rsidRPr="000A0D22">
        <w:rPr>
          <w:rFonts w:ascii="Arial" w:hAnsi="Arial" w:cs="Arial"/>
          <w:b/>
        </w:rPr>
        <w:t>Art. 10</w:t>
      </w:r>
      <w:r w:rsidRPr="009102B3">
        <w:rPr>
          <w:rFonts w:ascii="Arial" w:hAnsi="Arial" w:cs="Arial"/>
        </w:rPr>
        <w:t xml:space="preserve"> - As cirurgias oftalmológicas integrantes da Campanha Federal e da Campanha Estadual, serão financiadas com o Teto da Programação Pactuada e Integrada da Assistência Ambulatorial – PPI do Grupo 04.05, programado nos Termos de Compromisso do MaxPPI, bem como com os Recurso das Portarias </w:t>
      </w:r>
      <w:r w:rsidRPr="009102B3">
        <w:rPr>
          <w:rFonts w:ascii="Arial" w:hAnsi="Arial" w:cs="Arial"/>
        </w:rPr>
        <w:lastRenderedPageBreak/>
        <w:t>GM/MS nºs. 3.</w:t>
      </w:r>
      <w:r>
        <w:rPr>
          <w:rFonts w:ascii="Arial" w:hAnsi="Arial" w:cs="Arial"/>
        </w:rPr>
        <w:t>641</w:t>
      </w:r>
      <w:r w:rsidRPr="009102B3">
        <w:rPr>
          <w:rFonts w:ascii="Arial" w:hAnsi="Arial" w:cs="Arial"/>
        </w:rPr>
        <w:t xml:space="preserve">/2020. </w:t>
      </w:r>
      <w:r>
        <w:rPr>
          <w:rFonts w:ascii="Arial" w:hAnsi="Arial" w:cs="Arial"/>
        </w:rPr>
        <w:t xml:space="preserve">O recurso desta deliberação </w:t>
      </w:r>
      <w:r w:rsidRPr="009102B3">
        <w:rPr>
          <w:rFonts w:ascii="Arial" w:hAnsi="Arial" w:cs="Arial"/>
        </w:rPr>
        <w:t xml:space="preserve">ressarcirá o prêmio dessas cirurgias através dos Encontros de Contas. </w:t>
      </w:r>
    </w:p>
    <w:p w14:paraId="64572C47" w14:textId="77777777" w:rsidR="002B7CDB" w:rsidRDefault="002B7CDB" w:rsidP="002B7CDB">
      <w:pPr>
        <w:jc w:val="both"/>
        <w:rPr>
          <w:rFonts w:ascii="Arial" w:hAnsi="Arial" w:cs="Arial"/>
        </w:rPr>
      </w:pPr>
    </w:p>
    <w:p w14:paraId="7F4A901B" w14:textId="77777777" w:rsidR="002B7CDB" w:rsidRDefault="002B7CDB" w:rsidP="002B7CDB">
      <w:pPr>
        <w:jc w:val="both"/>
        <w:rPr>
          <w:rFonts w:ascii="Arial" w:hAnsi="Arial" w:cs="Arial"/>
        </w:rPr>
      </w:pPr>
      <w:r w:rsidRPr="00C223A1">
        <w:rPr>
          <w:rFonts w:ascii="Arial" w:hAnsi="Arial" w:cs="Arial"/>
          <w:b/>
          <w:bCs/>
        </w:rPr>
        <w:t>Art. 11</w:t>
      </w:r>
      <w:r>
        <w:rPr>
          <w:rFonts w:ascii="Arial" w:hAnsi="Arial" w:cs="Arial"/>
        </w:rPr>
        <w:t xml:space="preserve"> – É responsabilidade de cada gestor, relacionado no Anexo II, o cumprimento d</w:t>
      </w:r>
      <w:r w:rsidRPr="009102B3">
        <w:rPr>
          <w:rFonts w:ascii="Arial" w:hAnsi="Arial" w:cs="Arial"/>
        </w:rPr>
        <w:t xml:space="preserve">os critérios do </w:t>
      </w:r>
      <w:r>
        <w:rPr>
          <w:rFonts w:ascii="Arial" w:hAnsi="Arial" w:cs="Arial"/>
        </w:rPr>
        <w:t>a</w:t>
      </w:r>
      <w:r w:rsidRPr="009102B3">
        <w:rPr>
          <w:rFonts w:ascii="Arial" w:hAnsi="Arial" w:cs="Arial"/>
        </w:rPr>
        <w:t>rtigo 3º da Portaria GM/MS nº 3.</w:t>
      </w:r>
      <w:r>
        <w:rPr>
          <w:rFonts w:ascii="Arial" w:hAnsi="Arial" w:cs="Arial"/>
        </w:rPr>
        <w:t>641</w:t>
      </w:r>
      <w:r w:rsidRPr="009102B3">
        <w:rPr>
          <w:rFonts w:ascii="Arial" w:hAnsi="Arial" w:cs="Arial"/>
        </w:rPr>
        <w:t>/</w:t>
      </w:r>
      <w:r>
        <w:rPr>
          <w:rFonts w:ascii="Arial" w:hAnsi="Arial" w:cs="Arial"/>
        </w:rPr>
        <w:t>2020</w:t>
      </w:r>
      <w:r w:rsidRPr="009102B3">
        <w:rPr>
          <w:rFonts w:ascii="Arial" w:hAnsi="Arial" w:cs="Arial"/>
        </w:rPr>
        <w:t>, que estabelece a meta mensal que deverá ser cumprida para que o excedente seja financiado pelo FAEC</w:t>
      </w:r>
      <w:r>
        <w:rPr>
          <w:rFonts w:ascii="Arial" w:hAnsi="Arial" w:cs="Arial"/>
        </w:rPr>
        <w:t>. Caso não alcance a meta, os procedimentos não serão considerados no Encontro de Contas.</w:t>
      </w:r>
    </w:p>
    <w:p w14:paraId="6A8766B9" w14:textId="77777777" w:rsidR="002B7CDB" w:rsidRDefault="002B7CDB" w:rsidP="002B7CDB">
      <w:pPr>
        <w:jc w:val="both"/>
        <w:rPr>
          <w:rFonts w:ascii="Arial" w:hAnsi="Arial" w:cs="Arial"/>
        </w:rPr>
      </w:pPr>
    </w:p>
    <w:p w14:paraId="677CBE6A" w14:textId="77777777" w:rsidR="002B7CDB" w:rsidRPr="009102B3" w:rsidRDefault="002B7CDB" w:rsidP="002B7CDB">
      <w:pPr>
        <w:jc w:val="both"/>
        <w:rPr>
          <w:rFonts w:ascii="Arial" w:hAnsi="Arial" w:cs="Arial"/>
        </w:rPr>
      </w:pPr>
    </w:p>
    <w:p w14:paraId="37A1E856" w14:textId="77777777" w:rsidR="002B7CDB" w:rsidRPr="009102B3" w:rsidRDefault="002B7CDB" w:rsidP="002B7CDB">
      <w:pPr>
        <w:ind w:left="375"/>
        <w:jc w:val="center"/>
        <w:rPr>
          <w:rFonts w:ascii="Arial" w:hAnsi="Arial" w:cs="Arial"/>
        </w:rPr>
      </w:pPr>
      <w:r w:rsidRPr="009102B3">
        <w:rPr>
          <w:rFonts w:ascii="Arial" w:hAnsi="Arial" w:cs="Arial"/>
          <w:b/>
        </w:rPr>
        <w:t>DA FAIXA DE AIH´S E DA DISTRIBUIÇÃO</w:t>
      </w:r>
    </w:p>
    <w:p w14:paraId="595B006F" w14:textId="77777777" w:rsidR="002B7CDB" w:rsidRPr="009102B3" w:rsidRDefault="002B7CDB" w:rsidP="002B7CDB">
      <w:pPr>
        <w:jc w:val="both"/>
        <w:rPr>
          <w:rFonts w:ascii="Arial" w:hAnsi="Arial" w:cs="Arial"/>
          <w:b/>
        </w:rPr>
      </w:pPr>
    </w:p>
    <w:p w14:paraId="132C9052" w14:textId="77777777" w:rsidR="002B7CDB" w:rsidRPr="009102B3" w:rsidRDefault="002B7CDB" w:rsidP="002B7CDB">
      <w:pPr>
        <w:jc w:val="both"/>
        <w:rPr>
          <w:rFonts w:ascii="Arial" w:hAnsi="Arial" w:cs="Arial"/>
        </w:rPr>
      </w:pPr>
      <w:r w:rsidRPr="000A0D22">
        <w:rPr>
          <w:rFonts w:ascii="Arial" w:hAnsi="Arial" w:cs="Arial"/>
          <w:b/>
        </w:rPr>
        <w:t>Art. 1</w:t>
      </w:r>
      <w:r>
        <w:rPr>
          <w:rFonts w:ascii="Arial" w:hAnsi="Arial" w:cs="Arial"/>
          <w:b/>
        </w:rPr>
        <w:t>2</w:t>
      </w:r>
      <w:r w:rsidRPr="009102B3">
        <w:rPr>
          <w:rFonts w:ascii="Arial" w:hAnsi="Arial" w:cs="Arial"/>
        </w:rPr>
        <w:t xml:space="preserve"> - A Campanha Estadual disponibiliza para os municípios procedimentos da Portaria GM/MS nº 3.</w:t>
      </w:r>
      <w:r w:rsidRPr="00A93480">
        <w:rPr>
          <w:rFonts w:ascii="Arial" w:hAnsi="Arial" w:cs="Arial"/>
        </w:rPr>
        <w:t xml:space="preserve"> </w:t>
      </w:r>
      <w:r>
        <w:rPr>
          <w:rFonts w:ascii="Arial" w:hAnsi="Arial" w:cs="Arial"/>
        </w:rPr>
        <w:t>641/2020</w:t>
      </w:r>
      <w:r w:rsidRPr="009102B3">
        <w:rPr>
          <w:rFonts w:ascii="Arial" w:hAnsi="Arial" w:cs="Arial"/>
        </w:rPr>
        <w:t xml:space="preserve"> e também procedimentos não incluídos nesta Portaria, porém elencados pela necessidade estadual e pactuados em CIB, arrolados no Anexo</w:t>
      </w:r>
      <w:r>
        <w:rPr>
          <w:rFonts w:ascii="Arial" w:hAnsi="Arial" w:cs="Arial"/>
        </w:rPr>
        <w:t xml:space="preserve"> I</w:t>
      </w:r>
      <w:r w:rsidRPr="009102B3">
        <w:rPr>
          <w:rFonts w:ascii="Arial" w:hAnsi="Arial" w:cs="Arial"/>
        </w:rPr>
        <w:t xml:space="preserve"> desta deliberação.</w:t>
      </w:r>
    </w:p>
    <w:p w14:paraId="2FA96624" w14:textId="77777777" w:rsidR="002B7CDB" w:rsidRPr="009102B3" w:rsidRDefault="002B7CDB" w:rsidP="002B7CDB">
      <w:pPr>
        <w:jc w:val="both"/>
        <w:rPr>
          <w:rFonts w:ascii="Arial" w:hAnsi="Arial" w:cs="Arial"/>
        </w:rPr>
      </w:pPr>
    </w:p>
    <w:p w14:paraId="10C05071" w14:textId="77777777" w:rsidR="002B7CDB" w:rsidRPr="009102B3" w:rsidRDefault="002B7CDB" w:rsidP="002B7CDB">
      <w:pPr>
        <w:jc w:val="both"/>
        <w:rPr>
          <w:rFonts w:ascii="Arial" w:hAnsi="Arial" w:cs="Arial"/>
        </w:rPr>
      </w:pPr>
      <w:r w:rsidRPr="000A0D22">
        <w:rPr>
          <w:rFonts w:ascii="Arial" w:hAnsi="Arial" w:cs="Arial"/>
          <w:b/>
        </w:rPr>
        <w:t>Art. 1</w:t>
      </w:r>
      <w:r>
        <w:rPr>
          <w:rFonts w:ascii="Arial" w:hAnsi="Arial" w:cs="Arial"/>
          <w:b/>
        </w:rPr>
        <w:t>3</w:t>
      </w:r>
      <w:r w:rsidRPr="009102B3">
        <w:rPr>
          <w:rFonts w:ascii="Arial" w:hAnsi="Arial" w:cs="Arial"/>
        </w:rPr>
        <w:t xml:space="preserve"> - Para o faturamento dos procedimentos ministeriais serão utilizadas as faixas de processamento ministerial.</w:t>
      </w:r>
    </w:p>
    <w:p w14:paraId="3CDABEF7" w14:textId="77777777" w:rsidR="002B7CDB" w:rsidRPr="009102B3" w:rsidRDefault="002B7CDB" w:rsidP="002B7CDB">
      <w:pPr>
        <w:jc w:val="both"/>
        <w:rPr>
          <w:rFonts w:ascii="Arial" w:hAnsi="Arial" w:cs="Arial"/>
        </w:rPr>
      </w:pPr>
    </w:p>
    <w:p w14:paraId="2EDCE140" w14:textId="77777777" w:rsidR="002B7CDB" w:rsidRPr="009102B3" w:rsidRDefault="002B7CDB" w:rsidP="002B7CDB">
      <w:pPr>
        <w:jc w:val="both"/>
        <w:rPr>
          <w:rFonts w:ascii="Arial" w:hAnsi="Arial" w:cs="Arial"/>
        </w:rPr>
      </w:pPr>
      <w:r w:rsidRPr="000A0D22">
        <w:rPr>
          <w:rFonts w:ascii="Arial" w:hAnsi="Arial" w:cs="Arial"/>
          <w:b/>
        </w:rPr>
        <w:t>Art. 1</w:t>
      </w:r>
      <w:r>
        <w:rPr>
          <w:rFonts w:ascii="Arial" w:hAnsi="Arial" w:cs="Arial"/>
          <w:b/>
        </w:rPr>
        <w:t>4</w:t>
      </w:r>
      <w:r w:rsidRPr="009102B3">
        <w:rPr>
          <w:rFonts w:ascii="Arial" w:hAnsi="Arial" w:cs="Arial"/>
        </w:rPr>
        <w:t xml:space="preserve"> - Para faturamento dos procedimentos estaduais, a SES criou uma faixa especial de numeração de AIH válida para o processamento desses procedimentos realizados até 31 de dezembro/202</w:t>
      </w:r>
      <w:r>
        <w:rPr>
          <w:rFonts w:ascii="Arial" w:hAnsi="Arial" w:cs="Arial"/>
        </w:rPr>
        <w:t>1</w:t>
      </w:r>
      <w:r>
        <w:rPr>
          <w:rFonts w:ascii="Arial" w:hAnsi="Arial" w:cs="Arial"/>
          <w:color w:val="FF0000"/>
        </w:rPr>
        <w:t>.</w:t>
      </w:r>
    </w:p>
    <w:p w14:paraId="6ABA0DB8" w14:textId="77777777" w:rsidR="002B7CDB" w:rsidRPr="009102B3" w:rsidRDefault="002B7CDB" w:rsidP="002B7CDB">
      <w:pPr>
        <w:jc w:val="both"/>
        <w:rPr>
          <w:rFonts w:ascii="Arial" w:hAnsi="Arial" w:cs="Arial"/>
        </w:rPr>
      </w:pPr>
    </w:p>
    <w:p w14:paraId="7EAD31E5" w14:textId="77777777" w:rsidR="002B7CDB" w:rsidRPr="009102B3" w:rsidRDefault="002B7CDB" w:rsidP="002B7CDB">
      <w:pPr>
        <w:jc w:val="both"/>
        <w:rPr>
          <w:rFonts w:ascii="Arial" w:hAnsi="Arial" w:cs="Arial"/>
        </w:rPr>
      </w:pPr>
      <w:r w:rsidRPr="000A0D22">
        <w:rPr>
          <w:rFonts w:ascii="Arial" w:hAnsi="Arial" w:cs="Arial"/>
          <w:b/>
        </w:rPr>
        <w:t>Art. 1</w:t>
      </w:r>
      <w:r>
        <w:rPr>
          <w:rFonts w:ascii="Arial" w:hAnsi="Arial" w:cs="Arial"/>
          <w:b/>
        </w:rPr>
        <w:t>5</w:t>
      </w:r>
      <w:r w:rsidRPr="009102B3">
        <w:rPr>
          <w:rFonts w:ascii="Arial" w:hAnsi="Arial" w:cs="Arial"/>
        </w:rPr>
        <w:t xml:space="preserve"> - Da mesma forma para as APACs de cirurgias oftalmológicas se aplicarão os critérios dos artigos 12 e 13.</w:t>
      </w:r>
    </w:p>
    <w:p w14:paraId="5560072A" w14:textId="77777777" w:rsidR="002B7CDB" w:rsidRPr="009102B3" w:rsidRDefault="002B7CDB" w:rsidP="002B7CDB">
      <w:pPr>
        <w:jc w:val="both"/>
        <w:rPr>
          <w:rFonts w:ascii="Arial" w:hAnsi="Arial" w:cs="Arial"/>
        </w:rPr>
      </w:pPr>
    </w:p>
    <w:p w14:paraId="5FFFC287" w14:textId="77777777" w:rsidR="002B7CDB" w:rsidRDefault="002B7CDB" w:rsidP="002B7CDB">
      <w:pPr>
        <w:jc w:val="both"/>
        <w:rPr>
          <w:rFonts w:ascii="Arial" w:hAnsi="Arial" w:cs="Arial"/>
        </w:rPr>
      </w:pPr>
      <w:r w:rsidRPr="000A0D22">
        <w:rPr>
          <w:rFonts w:ascii="Arial" w:hAnsi="Arial" w:cs="Arial"/>
          <w:b/>
        </w:rPr>
        <w:t>Art. 1</w:t>
      </w:r>
      <w:r>
        <w:rPr>
          <w:rFonts w:ascii="Arial" w:hAnsi="Arial" w:cs="Arial"/>
          <w:b/>
        </w:rPr>
        <w:t>6</w:t>
      </w:r>
      <w:r w:rsidRPr="009102B3">
        <w:rPr>
          <w:rFonts w:ascii="Arial" w:hAnsi="Arial" w:cs="Arial"/>
        </w:rPr>
        <w:t xml:space="preserve"> - O</w:t>
      </w:r>
      <w:r>
        <w:rPr>
          <w:rFonts w:ascii="Arial" w:hAnsi="Arial" w:cs="Arial"/>
        </w:rPr>
        <w:t>s</w:t>
      </w:r>
      <w:r w:rsidRPr="009102B3">
        <w:rPr>
          <w:rFonts w:ascii="Arial" w:hAnsi="Arial" w:cs="Arial"/>
        </w:rPr>
        <w:t xml:space="preserve"> procedimento</w:t>
      </w:r>
      <w:r>
        <w:rPr>
          <w:rFonts w:ascii="Arial" w:hAnsi="Arial" w:cs="Arial"/>
        </w:rPr>
        <w:t>s</w:t>
      </w:r>
      <w:r w:rsidRPr="009102B3">
        <w:rPr>
          <w:rFonts w:ascii="Arial" w:hAnsi="Arial" w:cs="Arial"/>
        </w:rPr>
        <w:t xml:space="preserve"> 405050364 - Tratamento cirúrgico pterígio</w:t>
      </w:r>
      <w:r>
        <w:rPr>
          <w:rFonts w:ascii="Arial" w:hAnsi="Arial" w:cs="Arial"/>
        </w:rPr>
        <w:t xml:space="preserve">, </w:t>
      </w:r>
      <w:r w:rsidRPr="00B91526">
        <w:rPr>
          <w:rFonts w:ascii="Arial" w:hAnsi="Arial" w:cs="Arial"/>
        </w:rPr>
        <w:t>309070015</w:t>
      </w:r>
      <w:r>
        <w:rPr>
          <w:rFonts w:ascii="Arial" w:hAnsi="Arial" w:cs="Arial"/>
        </w:rPr>
        <w:t xml:space="preserve"> - T</w:t>
      </w:r>
      <w:r w:rsidRPr="00B91526">
        <w:rPr>
          <w:rFonts w:ascii="Arial" w:hAnsi="Arial" w:cs="Arial"/>
        </w:rPr>
        <w:t>ratamento esclerosante de membros inferiores (unilateral)</w:t>
      </w:r>
      <w:r>
        <w:rPr>
          <w:rFonts w:ascii="Arial" w:hAnsi="Arial" w:cs="Arial"/>
        </w:rPr>
        <w:t xml:space="preserve"> e  </w:t>
      </w:r>
      <w:r w:rsidRPr="00B91526">
        <w:rPr>
          <w:rFonts w:ascii="Arial" w:hAnsi="Arial" w:cs="Arial"/>
        </w:rPr>
        <w:t>309070023</w:t>
      </w:r>
      <w:r>
        <w:rPr>
          <w:rFonts w:ascii="Arial" w:hAnsi="Arial" w:cs="Arial"/>
        </w:rPr>
        <w:t xml:space="preserve"> - T</w:t>
      </w:r>
      <w:r w:rsidRPr="00B91526">
        <w:rPr>
          <w:rFonts w:ascii="Arial" w:hAnsi="Arial" w:cs="Arial"/>
        </w:rPr>
        <w:t>ratamento esclerosante de membros inferiores (bilateral)</w:t>
      </w:r>
      <w:r w:rsidRPr="009102B3">
        <w:rPr>
          <w:rFonts w:ascii="Arial" w:hAnsi="Arial" w:cs="Arial"/>
        </w:rPr>
        <w:t xml:space="preserve"> dever</w:t>
      </w:r>
      <w:r>
        <w:rPr>
          <w:rFonts w:ascii="Arial" w:hAnsi="Arial" w:cs="Arial"/>
        </w:rPr>
        <w:t>ão</w:t>
      </w:r>
      <w:r w:rsidRPr="009102B3">
        <w:rPr>
          <w:rFonts w:ascii="Arial" w:hAnsi="Arial" w:cs="Arial"/>
        </w:rPr>
        <w:t xml:space="preserve"> ser faturado</w:t>
      </w:r>
      <w:r>
        <w:rPr>
          <w:rFonts w:ascii="Arial" w:hAnsi="Arial" w:cs="Arial"/>
        </w:rPr>
        <w:t>s</w:t>
      </w:r>
      <w:r w:rsidRPr="009102B3">
        <w:rPr>
          <w:rFonts w:ascii="Arial" w:hAnsi="Arial" w:cs="Arial"/>
        </w:rPr>
        <w:t xml:space="preserve"> por BPA Individual, para identificação da procedência do paciente.</w:t>
      </w:r>
    </w:p>
    <w:p w14:paraId="71D6A0F0" w14:textId="77777777" w:rsidR="002B7CDB" w:rsidRPr="009102B3" w:rsidRDefault="002B7CDB" w:rsidP="002B7CDB">
      <w:pPr>
        <w:jc w:val="both"/>
        <w:rPr>
          <w:rFonts w:ascii="Arial" w:hAnsi="Arial" w:cs="Arial"/>
        </w:rPr>
      </w:pPr>
    </w:p>
    <w:p w14:paraId="51E9069B" w14:textId="77777777" w:rsidR="002B7CDB" w:rsidRPr="00A93480" w:rsidRDefault="002B7CDB" w:rsidP="002B7CDB">
      <w:pPr>
        <w:jc w:val="both"/>
        <w:rPr>
          <w:rFonts w:ascii="Arial" w:hAnsi="Arial" w:cs="Arial"/>
        </w:rPr>
      </w:pPr>
      <w:r w:rsidRPr="000A0D22">
        <w:rPr>
          <w:rFonts w:ascii="Arial" w:hAnsi="Arial" w:cs="Arial"/>
          <w:b/>
        </w:rPr>
        <w:t>Art. 1</w:t>
      </w:r>
      <w:r>
        <w:rPr>
          <w:rFonts w:ascii="Arial" w:hAnsi="Arial" w:cs="Arial"/>
          <w:b/>
        </w:rPr>
        <w:t>7</w:t>
      </w:r>
      <w:r w:rsidRPr="009102B3">
        <w:rPr>
          <w:rFonts w:ascii="Arial" w:hAnsi="Arial" w:cs="Arial"/>
        </w:rPr>
        <w:t xml:space="preserve"> - </w:t>
      </w:r>
      <w:r w:rsidRPr="00A93480">
        <w:rPr>
          <w:rFonts w:ascii="Arial" w:hAnsi="Arial" w:cs="Arial"/>
        </w:rPr>
        <w:t>Os procedimentos oftalmológicos, passíveis de faturamento por AIH, poderão ser excepcionalmente autorizados para pacientes com indicação clínica comprovada e encaminhada ao médico regulador das cirurgias eletivas.</w:t>
      </w:r>
    </w:p>
    <w:p w14:paraId="73AF460B" w14:textId="77777777" w:rsidR="002B7CDB" w:rsidRDefault="002B7CDB" w:rsidP="002B7CDB">
      <w:pPr>
        <w:jc w:val="both"/>
        <w:rPr>
          <w:rFonts w:ascii="Arial" w:hAnsi="Arial" w:cs="Arial"/>
          <w:color w:val="FF0000"/>
        </w:rPr>
      </w:pPr>
    </w:p>
    <w:p w14:paraId="261EF6C1" w14:textId="77777777" w:rsidR="002B7CDB" w:rsidRDefault="002B7CDB" w:rsidP="002B7CDB">
      <w:pPr>
        <w:jc w:val="both"/>
        <w:rPr>
          <w:rFonts w:ascii="Arial" w:hAnsi="Arial" w:cs="Arial"/>
        </w:rPr>
      </w:pPr>
      <w:r w:rsidRPr="00A93480">
        <w:rPr>
          <w:rFonts w:ascii="Arial" w:hAnsi="Arial" w:cs="Arial"/>
          <w:b/>
          <w:bCs/>
        </w:rPr>
        <w:t>Art. 1</w:t>
      </w:r>
      <w:r>
        <w:rPr>
          <w:rFonts w:ascii="Arial" w:hAnsi="Arial" w:cs="Arial"/>
          <w:b/>
          <w:bCs/>
        </w:rPr>
        <w:t>8</w:t>
      </w:r>
      <w:r w:rsidRPr="00A93480">
        <w:rPr>
          <w:rFonts w:ascii="Arial" w:hAnsi="Arial" w:cs="Arial"/>
        </w:rPr>
        <w:t xml:space="preserve"> - As</w:t>
      </w:r>
      <w:r w:rsidRPr="009102B3">
        <w:rPr>
          <w:rFonts w:ascii="Arial" w:hAnsi="Arial" w:cs="Arial"/>
        </w:rPr>
        <w:t xml:space="preserve"> cotas de AIH e APAC não serão programadas per capita</w:t>
      </w:r>
      <w:r>
        <w:rPr>
          <w:rFonts w:ascii="Arial" w:hAnsi="Arial" w:cs="Arial"/>
        </w:rPr>
        <w:t>.</w:t>
      </w:r>
      <w:r w:rsidRPr="009102B3">
        <w:rPr>
          <w:rFonts w:ascii="Arial" w:hAnsi="Arial" w:cs="Arial"/>
        </w:rPr>
        <w:t xml:space="preserve"> </w:t>
      </w:r>
      <w:r>
        <w:rPr>
          <w:rFonts w:ascii="Arial" w:hAnsi="Arial" w:cs="Arial"/>
        </w:rPr>
        <w:t>O</w:t>
      </w:r>
      <w:r w:rsidRPr="009102B3">
        <w:rPr>
          <w:rFonts w:ascii="Arial" w:hAnsi="Arial" w:cs="Arial"/>
        </w:rPr>
        <w:t xml:space="preserve"> objetivo é que as cotas estejam livres no Sistema SISREG e Sistema de Controle AC para que cada município possa solicitar conforme a sua necessidade na região.</w:t>
      </w:r>
    </w:p>
    <w:p w14:paraId="0CED0D2D" w14:textId="77777777" w:rsidR="002B7CDB" w:rsidRDefault="002B7CDB" w:rsidP="002B7CDB">
      <w:pPr>
        <w:jc w:val="both"/>
        <w:rPr>
          <w:rFonts w:ascii="Arial" w:hAnsi="Arial" w:cs="Arial"/>
        </w:rPr>
      </w:pPr>
    </w:p>
    <w:p w14:paraId="7D1F40A0" w14:textId="77777777" w:rsidR="002B7CDB" w:rsidRDefault="002B7CDB" w:rsidP="002B7CDB">
      <w:pPr>
        <w:jc w:val="both"/>
        <w:rPr>
          <w:rFonts w:ascii="Arial" w:hAnsi="Arial" w:cs="Arial"/>
        </w:rPr>
      </w:pPr>
      <w:r w:rsidRPr="002B7CDB">
        <w:rPr>
          <w:rFonts w:ascii="Arial" w:hAnsi="Arial" w:cs="Arial"/>
          <w:b/>
          <w:bCs/>
        </w:rPr>
        <w:t xml:space="preserve">Art. 19 </w:t>
      </w:r>
      <w:r w:rsidRPr="002B7CDB">
        <w:rPr>
          <w:rFonts w:ascii="Arial" w:hAnsi="Arial" w:cs="Arial"/>
        </w:rPr>
        <w:t>– Os procedimentos contemplados na Campanha possuem o financiamento MAC e FAEC e, portanto, a solicitação de um dos financiamentos cabe ao solicitante no SISREG. O gestor deverá cumprir primeiramente a meta MAC, estabelecida no Anexo II, para depois solicitar o procedimento de Campanha. Dessa forma, o ressarcimento da produção FAEC apresentada é feita via repasse do Fundo Nacional de Saúde aos respectivos Fundos Municipais e Estadual de Saúde.</w:t>
      </w:r>
      <w:r>
        <w:rPr>
          <w:rFonts w:ascii="Arial" w:hAnsi="Arial" w:cs="Arial"/>
        </w:rPr>
        <w:t xml:space="preserve">  </w:t>
      </w:r>
    </w:p>
    <w:p w14:paraId="32FF2CB1" w14:textId="77777777" w:rsidR="002B7CDB" w:rsidRPr="009102B3" w:rsidRDefault="002B7CDB" w:rsidP="002B7CDB">
      <w:pPr>
        <w:jc w:val="both"/>
        <w:rPr>
          <w:rFonts w:ascii="Arial" w:hAnsi="Arial" w:cs="Arial"/>
        </w:rPr>
      </w:pPr>
    </w:p>
    <w:p w14:paraId="026251CE" w14:textId="77777777" w:rsidR="002B7CDB" w:rsidRDefault="002B7CDB" w:rsidP="002B7CDB">
      <w:pPr>
        <w:ind w:left="375"/>
        <w:jc w:val="center"/>
        <w:rPr>
          <w:rFonts w:ascii="Arial" w:hAnsi="Arial" w:cs="Arial"/>
          <w:b/>
        </w:rPr>
      </w:pPr>
    </w:p>
    <w:p w14:paraId="1ED444B4" w14:textId="77777777" w:rsidR="00CB22B9" w:rsidRDefault="00CB22B9">
      <w:pPr>
        <w:suppressAutoHyphens w:val="0"/>
        <w:rPr>
          <w:rFonts w:ascii="Arial" w:hAnsi="Arial" w:cs="Arial"/>
          <w:b/>
        </w:rPr>
      </w:pPr>
      <w:r>
        <w:rPr>
          <w:rFonts w:ascii="Arial" w:hAnsi="Arial" w:cs="Arial"/>
          <w:b/>
        </w:rPr>
        <w:br w:type="page"/>
      </w:r>
    </w:p>
    <w:p w14:paraId="10E8F49A" w14:textId="3C5187D2" w:rsidR="002B7CDB" w:rsidRPr="009102B3" w:rsidRDefault="002B7CDB" w:rsidP="002B7CDB">
      <w:pPr>
        <w:ind w:left="375"/>
        <w:jc w:val="center"/>
        <w:rPr>
          <w:rFonts w:ascii="Arial" w:hAnsi="Arial" w:cs="Arial"/>
        </w:rPr>
      </w:pPr>
      <w:r w:rsidRPr="009102B3">
        <w:rPr>
          <w:rFonts w:ascii="Arial" w:hAnsi="Arial" w:cs="Arial"/>
          <w:b/>
        </w:rPr>
        <w:lastRenderedPageBreak/>
        <w:t>DOS GRUPOS CONTEMPLADOS E DOS PRÊMIOS</w:t>
      </w:r>
    </w:p>
    <w:p w14:paraId="53FC643B" w14:textId="77777777" w:rsidR="002B7CDB" w:rsidRPr="009102B3" w:rsidRDefault="002B7CDB" w:rsidP="002B7CDB">
      <w:pPr>
        <w:jc w:val="both"/>
        <w:rPr>
          <w:rFonts w:ascii="Arial" w:hAnsi="Arial" w:cs="Arial"/>
          <w:b/>
        </w:rPr>
      </w:pPr>
    </w:p>
    <w:p w14:paraId="149E0354"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20</w:t>
      </w:r>
      <w:r w:rsidRPr="009102B3">
        <w:rPr>
          <w:rFonts w:ascii="Arial" w:hAnsi="Arial" w:cs="Arial"/>
        </w:rPr>
        <w:t xml:space="preserve"> - A Campanha está dividida em 07 Grupos:</w:t>
      </w:r>
    </w:p>
    <w:p w14:paraId="0CF26378" w14:textId="77777777" w:rsidR="002B7CDB" w:rsidRPr="009102B3" w:rsidRDefault="002B7CDB" w:rsidP="002B7CDB">
      <w:pPr>
        <w:jc w:val="both"/>
        <w:rPr>
          <w:rFonts w:ascii="Arial" w:hAnsi="Arial" w:cs="Arial"/>
        </w:rPr>
      </w:pPr>
      <w:r>
        <w:rPr>
          <w:rFonts w:ascii="Arial" w:hAnsi="Arial" w:cs="Arial"/>
        </w:rPr>
        <w:t xml:space="preserve">I - </w:t>
      </w:r>
      <w:r w:rsidRPr="009102B3">
        <w:rPr>
          <w:rFonts w:ascii="Arial" w:hAnsi="Arial" w:cs="Arial"/>
        </w:rPr>
        <w:t>Cirurgias Múltiplas</w:t>
      </w:r>
      <w:r>
        <w:rPr>
          <w:rFonts w:ascii="Arial" w:hAnsi="Arial" w:cs="Arial"/>
        </w:rPr>
        <w:t>;</w:t>
      </w:r>
    </w:p>
    <w:p w14:paraId="49DE9DAD" w14:textId="77777777" w:rsidR="002B7CDB" w:rsidRPr="009102B3" w:rsidRDefault="002B7CDB" w:rsidP="002B7CDB">
      <w:pPr>
        <w:jc w:val="both"/>
        <w:rPr>
          <w:rFonts w:ascii="Arial" w:hAnsi="Arial" w:cs="Arial"/>
        </w:rPr>
      </w:pPr>
      <w:r>
        <w:rPr>
          <w:rFonts w:ascii="Arial" w:hAnsi="Arial" w:cs="Arial"/>
        </w:rPr>
        <w:t xml:space="preserve">II - </w:t>
      </w:r>
      <w:r w:rsidRPr="009102B3">
        <w:rPr>
          <w:rFonts w:ascii="Arial" w:hAnsi="Arial" w:cs="Arial"/>
        </w:rPr>
        <w:t>Cirurgias Gerais</w:t>
      </w:r>
      <w:r>
        <w:rPr>
          <w:rFonts w:ascii="Arial" w:hAnsi="Arial" w:cs="Arial"/>
        </w:rPr>
        <w:t xml:space="preserve"> e Tratamento;</w:t>
      </w:r>
    </w:p>
    <w:p w14:paraId="7C53E0B1" w14:textId="77777777" w:rsidR="002B7CDB" w:rsidRPr="009102B3" w:rsidRDefault="002B7CDB" w:rsidP="002B7CDB">
      <w:pPr>
        <w:jc w:val="both"/>
        <w:rPr>
          <w:rFonts w:ascii="Arial" w:hAnsi="Arial" w:cs="Arial"/>
        </w:rPr>
      </w:pPr>
      <w:r>
        <w:rPr>
          <w:rFonts w:ascii="Arial" w:hAnsi="Arial" w:cs="Arial"/>
        </w:rPr>
        <w:t xml:space="preserve">III - </w:t>
      </w:r>
      <w:r w:rsidRPr="009102B3">
        <w:rPr>
          <w:rFonts w:ascii="Arial" w:hAnsi="Arial" w:cs="Arial"/>
        </w:rPr>
        <w:t>Cirurgias em Ginecologia</w:t>
      </w:r>
      <w:r>
        <w:rPr>
          <w:rFonts w:ascii="Arial" w:hAnsi="Arial" w:cs="Arial"/>
        </w:rPr>
        <w:t>;</w:t>
      </w:r>
    </w:p>
    <w:p w14:paraId="38DFE741" w14:textId="77777777" w:rsidR="002B7CDB" w:rsidRPr="009102B3" w:rsidRDefault="002B7CDB" w:rsidP="002B7CDB">
      <w:pPr>
        <w:jc w:val="both"/>
        <w:rPr>
          <w:rFonts w:ascii="Arial" w:hAnsi="Arial" w:cs="Arial"/>
        </w:rPr>
      </w:pPr>
      <w:r>
        <w:rPr>
          <w:rFonts w:ascii="Arial" w:hAnsi="Arial" w:cs="Arial"/>
        </w:rPr>
        <w:t xml:space="preserve">IV - </w:t>
      </w:r>
      <w:r w:rsidRPr="009102B3">
        <w:rPr>
          <w:rFonts w:ascii="Arial" w:hAnsi="Arial" w:cs="Arial"/>
        </w:rPr>
        <w:t>Cirurgias em Urologia/Nefrologia</w:t>
      </w:r>
      <w:r>
        <w:rPr>
          <w:rFonts w:ascii="Arial" w:hAnsi="Arial" w:cs="Arial"/>
        </w:rPr>
        <w:t>;</w:t>
      </w:r>
    </w:p>
    <w:p w14:paraId="00B77352" w14:textId="77777777" w:rsidR="002B7CDB" w:rsidRPr="009102B3" w:rsidRDefault="002B7CDB" w:rsidP="002B7CDB">
      <w:pPr>
        <w:jc w:val="both"/>
        <w:rPr>
          <w:rFonts w:ascii="Arial" w:hAnsi="Arial" w:cs="Arial"/>
        </w:rPr>
      </w:pPr>
      <w:r>
        <w:rPr>
          <w:rFonts w:ascii="Arial" w:hAnsi="Arial" w:cs="Arial"/>
        </w:rPr>
        <w:t xml:space="preserve">V - </w:t>
      </w:r>
      <w:r w:rsidRPr="009102B3">
        <w:rPr>
          <w:rFonts w:ascii="Arial" w:hAnsi="Arial" w:cs="Arial"/>
        </w:rPr>
        <w:t>Cirurgias em Ortopedia</w:t>
      </w:r>
      <w:r>
        <w:rPr>
          <w:rFonts w:ascii="Arial" w:hAnsi="Arial" w:cs="Arial"/>
        </w:rPr>
        <w:t>;</w:t>
      </w:r>
    </w:p>
    <w:p w14:paraId="18CFC7F0" w14:textId="77777777" w:rsidR="002B7CDB" w:rsidRPr="009102B3" w:rsidRDefault="002B7CDB" w:rsidP="002B7CDB">
      <w:pPr>
        <w:jc w:val="both"/>
        <w:rPr>
          <w:rFonts w:ascii="Arial" w:hAnsi="Arial" w:cs="Arial"/>
        </w:rPr>
      </w:pPr>
      <w:r>
        <w:rPr>
          <w:rFonts w:ascii="Arial" w:hAnsi="Arial" w:cs="Arial"/>
        </w:rPr>
        <w:t xml:space="preserve">VI - </w:t>
      </w:r>
      <w:r w:rsidRPr="009102B3">
        <w:rPr>
          <w:rFonts w:ascii="Arial" w:hAnsi="Arial" w:cs="Arial"/>
        </w:rPr>
        <w:t>Cirurgias em Oftalmologia</w:t>
      </w:r>
      <w:r>
        <w:rPr>
          <w:rFonts w:ascii="Arial" w:hAnsi="Arial" w:cs="Arial"/>
        </w:rPr>
        <w:t>;</w:t>
      </w:r>
    </w:p>
    <w:p w14:paraId="76361009" w14:textId="77777777" w:rsidR="002B7CDB" w:rsidRPr="009102B3" w:rsidRDefault="002B7CDB" w:rsidP="002B7CDB">
      <w:pPr>
        <w:jc w:val="both"/>
        <w:rPr>
          <w:rFonts w:ascii="Arial" w:hAnsi="Arial" w:cs="Arial"/>
        </w:rPr>
      </w:pPr>
      <w:r>
        <w:rPr>
          <w:rFonts w:ascii="Arial" w:hAnsi="Arial" w:cs="Arial"/>
        </w:rPr>
        <w:t xml:space="preserve">VII - </w:t>
      </w:r>
      <w:r w:rsidRPr="009102B3">
        <w:rPr>
          <w:rFonts w:ascii="Arial" w:hAnsi="Arial" w:cs="Arial"/>
        </w:rPr>
        <w:t>Cirurgias em Otorrinolaringologia/cabeça e pescoço</w:t>
      </w:r>
      <w:r>
        <w:rPr>
          <w:rFonts w:ascii="Arial" w:hAnsi="Arial" w:cs="Arial"/>
        </w:rPr>
        <w:t>.</w:t>
      </w:r>
    </w:p>
    <w:p w14:paraId="13122A69" w14:textId="77777777" w:rsidR="002B7CDB" w:rsidRPr="009102B3" w:rsidRDefault="002B7CDB" w:rsidP="002B7CDB">
      <w:pPr>
        <w:jc w:val="both"/>
        <w:rPr>
          <w:rFonts w:ascii="Arial" w:hAnsi="Arial" w:cs="Arial"/>
        </w:rPr>
      </w:pPr>
      <w:r w:rsidRPr="009102B3">
        <w:rPr>
          <w:rFonts w:ascii="Arial" w:hAnsi="Arial" w:cs="Arial"/>
        </w:rPr>
        <w:tab/>
      </w:r>
    </w:p>
    <w:p w14:paraId="3AF1C70D"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21</w:t>
      </w:r>
      <w:r w:rsidRPr="009102B3">
        <w:rPr>
          <w:rFonts w:ascii="Arial" w:hAnsi="Arial" w:cs="Arial"/>
        </w:rPr>
        <w:t xml:space="preserve"> - Os valores previstos para a realização das cirurgias constituem-se do </w:t>
      </w:r>
      <w:r>
        <w:rPr>
          <w:rFonts w:ascii="Arial" w:hAnsi="Arial" w:cs="Arial"/>
        </w:rPr>
        <w:t>v</w:t>
      </w:r>
      <w:r w:rsidRPr="009102B3">
        <w:rPr>
          <w:rFonts w:ascii="Arial" w:hAnsi="Arial" w:cs="Arial"/>
        </w:rPr>
        <w:t>alor da Tabela SUS, constante no SIGTAP, acrescidos de um Prêmio de Incentivo.</w:t>
      </w:r>
    </w:p>
    <w:p w14:paraId="686E0D72" w14:textId="77777777" w:rsidR="002B7CDB" w:rsidRPr="009102B3" w:rsidRDefault="002B7CDB" w:rsidP="002B7CDB">
      <w:pPr>
        <w:jc w:val="both"/>
        <w:rPr>
          <w:rFonts w:ascii="Arial" w:hAnsi="Arial" w:cs="Arial"/>
        </w:rPr>
      </w:pPr>
    </w:p>
    <w:p w14:paraId="6106B271"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22</w:t>
      </w:r>
      <w:r w:rsidRPr="009102B3">
        <w:rPr>
          <w:rFonts w:ascii="Arial" w:hAnsi="Arial" w:cs="Arial"/>
        </w:rPr>
        <w:t xml:space="preserve"> - Os valores dos prêmios representam um incentivo pela adesão a Campanha de Cirurgias Eletivas, dentro da lógica de proporcionar a diminuição de filas e de demandas represadas e foram calculados levando-se em conta a complexidade de cada procedimento, com base na estimativa de tempo de realização de cada procedimento.</w:t>
      </w:r>
    </w:p>
    <w:p w14:paraId="58F885B2" w14:textId="77777777" w:rsidR="002B7CDB" w:rsidRPr="009102B3" w:rsidRDefault="002B7CDB" w:rsidP="002B7CDB">
      <w:pPr>
        <w:jc w:val="both"/>
        <w:rPr>
          <w:rFonts w:ascii="Arial" w:hAnsi="Arial" w:cs="Arial"/>
        </w:rPr>
      </w:pPr>
    </w:p>
    <w:p w14:paraId="512DE60A"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23</w:t>
      </w:r>
      <w:r w:rsidRPr="009102B3">
        <w:rPr>
          <w:rFonts w:ascii="Arial" w:hAnsi="Arial" w:cs="Arial"/>
        </w:rPr>
        <w:t xml:space="preserve"> - Os prêmios foram estipulados em 04 faixas, de R$ 300,00, R$ 400,00, R$ 500,00 e de R$ 600,00, </w:t>
      </w:r>
      <w:r>
        <w:rPr>
          <w:rFonts w:ascii="Arial" w:hAnsi="Arial" w:cs="Arial"/>
        </w:rPr>
        <w:t xml:space="preserve">conforme Anexo I, </w:t>
      </w:r>
      <w:r w:rsidRPr="009102B3">
        <w:rPr>
          <w:rFonts w:ascii="Arial" w:hAnsi="Arial" w:cs="Arial"/>
        </w:rPr>
        <w:t>sendo na análise financeira dos mesmos, se traduzem compensatórios entre cada procedimento, em cada grupo. Para esta etapa da Campanha os procedimentos 04080500063; 0408040092; 0408050160; 048010142; 0403020123; 0408050896; 0407020187 terão o incentivo diferenciado pelo grande número de pacientes em fila de espera. Os procedimentos 409070270 e 409010499 terão aumento no prêmio visando o custeio da prótese implantável.</w:t>
      </w:r>
    </w:p>
    <w:p w14:paraId="68DEE872" w14:textId="77777777" w:rsidR="002B7CDB" w:rsidRPr="009102B3" w:rsidRDefault="002B7CDB" w:rsidP="002B7CDB">
      <w:pPr>
        <w:jc w:val="both"/>
        <w:rPr>
          <w:rFonts w:ascii="Arial" w:hAnsi="Arial" w:cs="Arial"/>
        </w:rPr>
      </w:pPr>
    </w:p>
    <w:p w14:paraId="4A883CF3" w14:textId="77777777" w:rsidR="002B7CDB" w:rsidRDefault="002B7CDB" w:rsidP="002B7CDB">
      <w:pPr>
        <w:jc w:val="both"/>
        <w:rPr>
          <w:rFonts w:ascii="Arial" w:hAnsi="Arial" w:cs="Arial"/>
        </w:rPr>
      </w:pPr>
      <w:r w:rsidRPr="000A0D22">
        <w:rPr>
          <w:rFonts w:ascii="Arial" w:hAnsi="Arial" w:cs="Arial"/>
          <w:b/>
        </w:rPr>
        <w:t xml:space="preserve">Art. </w:t>
      </w:r>
      <w:r>
        <w:rPr>
          <w:rFonts w:ascii="Arial" w:hAnsi="Arial" w:cs="Arial"/>
          <w:b/>
        </w:rPr>
        <w:t>24</w:t>
      </w:r>
      <w:r w:rsidRPr="009102B3">
        <w:rPr>
          <w:rFonts w:ascii="Arial" w:hAnsi="Arial" w:cs="Arial"/>
        </w:rPr>
        <w:t xml:space="preserve"> - A Campanha está atrelada aos condicionantes da Portaria GM/MS nº 3.</w:t>
      </w:r>
      <w:r>
        <w:rPr>
          <w:rFonts w:ascii="Arial" w:hAnsi="Arial" w:cs="Arial"/>
        </w:rPr>
        <w:t>641/2020</w:t>
      </w:r>
      <w:r w:rsidRPr="009102B3">
        <w:rPr>
          <w:rFonts w:ascii="Arial" w:hAnsi="Arial" w:cs="Arial"/>
        </w:rPr>
        <w:t xml:space="preserve">. No faturamento da produção os procedimentos estabelecidos por esta Portaria permitem a complementação com recursos federais até o limite de 100% da Tabela SUS como prêmio de Campanha. </w:t>
      </w:r>
      <w:r w:rsidRPr="00F17A2C">
        <w:rPr>
          <w:rFonts w:ascii="Arial" w:hAnsi="Arial" w:cs="Arial"/>
        </w:rPr>
        <w:t xml:space="preserve">Assim, alguns procedimentos que estão estabelecidos no rol estadual com o valor do prêmio maior que este </w:t>
      </w:r>
      <w:r>
        <w:rPr>
          <w:rFonts w:ascii="Arial" w:hAnsi="Arial" w:cs="Arial"/>
        </w:rPr>
        <w:t>parâmetro,</w:t>
      </w:r>
      <w:r w:rsidRPr="00F17A2C">
        <w:rPr>
          <w:rFonts w:ascii="Arial" w:hAnsi="Arial" w:cs="Arial"/>
        </w:rPr>
        <w:t xml:space="preserve"> terão seus valores custeados, em parte, por recursos </w:t>
      </w:r>
      <w:r>
        <w:rPr>
          <w:rFonts w:ascii="Arial" w:hAnsi="Arial" w:cs="Arial"/>
        </w:rPr>
        <w:t>desta deliberação através do e</w:t>
      </w:r>
      <w:r w:rsidRPr="00F17A2C">
        <w:rPr>
          <w:rFonts w:ascii="Arial" w:hAnsi="Arial" w:cs="Arial"/>
        </w:rPr>
        <w:t xml:space="preserve">ncontro de </w:t>
      </w:r>
      <w:r>
        <w:rPr>
          <w:rFonts w:ascii="Arial" w:hAnsi="Arial" w:cs="Arial"/>
        </w:rPr>
        <w:t>c</w:t>
      </w:r>
      <w:r w:rsidRPr="00F17A2C">
        <w:rPr>
          <w:rFonts w:ascii="Arial" w:hAnsi="Arial" w:cs="Arial"/>
        </w:rPr>
        <w:t>ontas</w:t>
      </w:r>
      <w:r>
        <w:rPr>
          <w:rFonts w:ascii="Arial" w:hAnsi="Arial" w:cs="Arial"/>
        </w:rPr>
        <w:t>.</w:t>
      </w:r>
    </w:p>
    <w:p w14:paraId="67970074" w14:textId="77777777" w:rsidR="002B7CDB" w:rsidRPr="009102B3" w:rsidRDefault="002B7CDB" w:rsidP="002B7CDB">
      <w:pPr>
        <w:ind w:left="426" w:hanging="426"/>
        <w:jc w:val="both"/>
        <w:rPr>
          <w:rFonts w:ascii="Arial" w:hAnsi="Arial" w:cs="Arial"/>
          <w:b/>
        </w:rPr>
      </w:pPr>
    </w:p>
    <w:p w14:paraId="26F95B9A" w14:textId="77777777" w:rsidR="002B7CDB" w:rsidRPr="009102B3" w:rsidRDefault="002B7CDB" w:rsidP="002B7CDB">
      <w:pPr>
        <w:ind w:left="375"/>
        <w:jc w:val="center"/>
        <w:rPr>
          <w:rFonts w:ascii="Arial" w:hAnsi="Arial" w:cs="Arial"/>
        </w:rPr>
      </w:pPr>
      <w:r w:rsidRPr="009102B3">
        <w:rPr>
          <w:rFonts w:ascii="Arial" w:hAnsi="Arial" w:cs="Arial"/>
          <w:b/>
        </w:rPr>
        <w:t>DA ADESÃO E PARTICIPAÇÃO DOS PRESTADORES</w:t>
      </w:r>
    </w:p>
    <w:p w14:paraId="473BE748" w14:textId="77777777" w:rsidR="002B7CDB" w:rsidRPr="009102B3" w:rsidRDefault="002B7CDB" w:rsidP="002B7CDB">
      <w:pPr>
        <w:jc w:val="both"/>
        <w:rPr>
          <w:rFonts w:ascii="Arial" w:hAnsi="Arial" w:cs="Arial"/>
          <w:b/>
        </w:rPr>
      </w:pPr>
    </w:p>
    <w:p w14:paraId="602481CE"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25</w:t>
      </w:r>
      <w:r w:rsidRPr="009102B3">
        <w:rPr>
          <w:rFonts w:ascii="Arial" w:hAnsi="Arial" w:cs="Arial"/>
        </w:rPr>
        <w:t xml:space="preserve"> - Caberá a cada gestor municipal a identificação de sua demanda reprimida e a necessidade imediata que se apresenta, concretizando por meio de pactuação na CIR, a sua referência mediante oferta disponível.</w:t>
      </w:r>
    </w:p>
    <w:p w14:paraId="7394B511" w14:textId="77777777" w:rsidR="002B7CDB" w:rsidRPr="009102B3" w:rsidRDefault="002B7CDB" w:rsidP="002B7CDB">
      <w:pPr>
        <w:jc w:val="both"/>
        <w:rPr>
          <w:rFonts w:ascii="Arial" w:hAnsi="Arial" w:cs="Arial"/>
        </w:rPr>
      </w:pPr>
    </w:p>
    <w:p w14:paraId="2AF34955"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26</w:t>
      </w:r>
      <w:r w:rsidRPr="009102B3">
        <w:rPr>
          <w:rFonts w:ascii="Arial" w:hAnsi="Arial" w:cs="Arial"/>
        </w:rPr>
        <w:t xml:space="preserve"> - A oferta disponível será apreciada pela CIR de cada região, mediante levantamento a ser procedido junto às entidades hospitalares interessadas da região/macrorregião.</w:t>
      </w:r>
    </w:p>
    <w:p w14:paraId="52511AF8" w14:textId="77777777" w:rsidR="002B7CDB" w:rsidRPr="009102B3" w:rsidRDefault="002B7CDB" w:rsidP="002B7CDB">
      <w:pPr>
        <w:jc w:val="both"/>
        <w:rPr>
          <w:rFonts w:ascii="Arial" w:hAnsi="Arial" w:cs="Arial"/>
        </w:rPr>
      </w:pPr>
    </w:p>
    <w:p w14:paraId="0C8474D0"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27</w:t>
      </w:r>
      <w:r w:rsidRPr="009102B3">
        <w:rPr>
          <w:rFonts w:ascii="Arial" w:hAnsi="Arial" w:cs="Arial"/>
        </w:rPr>
        <w:t xml:space="preserve"> - De posse da oferta disponibilizada pelos prestadores interessados em participar da Campanha Estadual de Cirurgias Eletivas, caberá a CIR de cada região/macrorregião a discussão acerca dos quantitativos de cirurgias a serem </w:t>
      </w:r>
      <w:r w:rsidRPr="009102B3">
        <w:rPr>
          <w:rFonts w:ascii="Arial" w:hAnsi="Arial" w:cs="Arial"/>
        </w:rPr>
        <w:lastRenderedPageBreak/>
        <w:t>pactuados com cada prestador, observados os critérios de Subgrupos e de procedimentos a serem prestados.</w:t>
      </w:r>
    </w:p>
    <w:p w14:paraId="5082056F" w14:textId="77777777" w:rsidR="002B7CDB" w:rsidRPr="009102B3" w:rsidRDefault="002B7CDB" w:rsidP="002B7CDB">
      <w:pPr>
        <w:jc w:val="both"/>
        <w:rPr>
          <w:rFonts w:ascii="Arial" w:hAnsi="Arial" w:cs="Arial"/>
        </w:rPr>
      </w:pPr>
    </w:p>
    <w:p w14:paraId="2717642B"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28</w:t>
      </w:r>
      <w:r w:rsidRPr="009102B3">
        <w:rPr>
          <w:rFonts w:ascii="Arial" w:hAnsi="Arial" w:cs="Arial"/>
        </w:rPr>
        <w:t xml:space="preserve"> - Também caberá a CIR a discussão e definição de utilização dos quantitativos de cirurgias de cada subgrupo para cada município pertencente a sua região/macrorregião, de modo a atender equanimente a todos os munícipes catarinenses.</w:t>
      </w:r>
    </w:p>
    <w:p w14:paraId="476A8E3A" w14:textId="77777777" w:rsidR="002B7CDB" w:rsidRPr="009102B3" w:rsidRDefault="002B7CDB" w:rsidP="002B7CDB">
      <w:pPr>
        <w:jc w:val="both"/>
        <w:rPr>
          <w:rFonts w:ascii="Arial" w:hAnsi="Arial" w:cs="Arial"/>
        </w:rPr>
      </w:pPr>
    </w:p>
    <w:p w14:paraId="5DDF2148"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29</w:t>
      </w:r>
      <w:r w:rsidRPr="009102B3">
        <w:rPr>
          <w:rFonts w:ascii="Arial" w:hAnsi="Arial" w:cs="Arial"/>
        </w:rPr>
        <w:t xml:space="preserve"> - O prestador interessado deverá proporcionar, para realização das cirurgias da Campanha Estadual de Cirurgias Eletivas, o acesso mediante a disponibilização de Consultas Especializadas Pré e Pós Operatórias, necessárias à triagem e acompanhamento dos usuários do SUS de sua referência.</w:t>
      </w:r>
    </w:p>
    <w:p w14:paraId="540CBBAB" w14:textId="77777777" w:rsidR="002B7CDB" w:rsidRPr="009102B3" w:rsidRDefault="002B7CDB" w:rsidP="002B7CDB">
      <w:pPr>
        <w:jc w:val="both"/>
        <w:rPr>
          <w:rFonts w:ascii="Arial" w:hAnsi="Arial" w:cs="Arial"/>
        </w:rPr>
      </w:pPr>
    </w:p>
    <w:p w14:paraId="07887A46"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30</w:t>
      </w:r>
      <w:r w:rsidRPr="009102B3">
        <w:rPr>
          <w:rFonts w:ascii="Arial" w:hAnsi="Arial" w:cs="Arial"/>
        </w:rPr>
        <w:t xml:space="preserve"> - Para os procedimentos ortopédicos 0408010142, 0408050063, 0408040092, 0408060379, 0403020123, 0408050160 e 0408050896 o prestador de serviço que realizará a cirurgia deverá responsabilizar-se pelas Consultas Especializadas Pré e Pós Operatórias e também pelos Exames Pré Operatórios.</w:t>
      </w:r>
    </w:p>
    <w:p w14:paraId="19C7792B" w14:textId="77777777" w:rsidR="002B7CDB" w:rsidRPr="009102B3" w:rsidRDefault="002B7CDB" w:rsidP="002B7CDB">
      <w:pPr>
        <w:rPr>
          <w:rFonts w:ascii="Arial" w:hAnsi="Arial" w:cs="Arial"/>
        </w:rPr>
      </w:pPr>
    </w:p>
    <w:p w14:paraId="148020C5"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31</w:t>
      </w:r>
      <w:r w:rsidRPr="009102B3">
        <w:rPr>
          <w:rFonts w:ascii="Arial" w:hAnsi="Arial" w:cs="Arial"/>
        </w:rPr>
        <w:t xml:space="preserve"> - Pela volatilidade da demanda cabe às áreas de regulação, controle e avaliação dos gestores Municipais e Estadual, o monitoramento da campanha, assim como, cabe a CIR acompanhar a evolução da utilização das cotas e o remanejamento na região, bem como, solidariamente proporcionar a todos os municípios da região/macrorregião, o acesso a outras macrorregiões de saúde no intuito de atender mais amplamente possível a cada município.</w:t>
      </w:r>
    </w:p>
    <w:p w14:paraId="1275D73F" w14:textId="77777777" w:rsidR="002B7CDB" w:rsidRPr="009102B3" w:rsidRDefault="002B7CDB" w:rsidP="002B7CDB">
      <w:pPr>
        <w:jc w:val="both"/>
        <w:rPr>
          <w:rFonts w:ascii="Arial" w:hAnsi="Arial" w:cs="Arial"/>
        </w:rPr>
      </w:pPr>
    </w:p>
    <w:p w14:paraId="4DCF4FC5"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32</w:t>
      </w:r>
      <w:r w:rsidRPr="009102B3">
        <w:rPr>
          <w:rFonts w:ascii="Arial" w:hAnsi="Arial" w:cs="Arial"/>
        </w:rPr>
        <w:t xml:space="preserve"> - Cabe a CIR a comunicação ao prestador, das referências a ele definidas. Portanto, não será possível ao prestador de saúde que adere a Campanha de Cirurgias Eletivas proceder à pactuação direta com municípios, sem a interveniência da CIR, que será o canal de alteração de referências de cada prestador.</w:t>
      </w:r>
    </w:p>
    <w:p w14:paraId="25342823" w14:textId="77777777" w:rsidR="002B7CDB" w:rsidRPr="009102B3" w:rsidRDefault="002B7CDB" w:rsidP="002B7CDB">
      <w:pPr>
        <w:jc w:val="both"/>
        <w:rPr>
          <w:rFonts w:ascii="Arial" w:hAnsi="Arial" w:cs="Arial"/>
        </w:rPr>
      </w:pPr>
    </w:p>
    <w:p w14:paraId="5CF48BF2"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33</w:t>
      </w:r>
      <w:r w:rsidRPr="009102B3">
        <w:rPr>
          <w:rFonts w:ascii="Arial" w:hAnsi="Arial" w:cs="Arial"/>
        </w:rPr>
        <w:t xml:space="preserve"> - Os prestadores deverão estar contratualizados e ter previsto no contrato cirurgias eletivas FAEC nas especialidades/procedimentos da Campanha.</w:t>
      </w:r>
    </w:p>
    <w:p w14:paraId="2CA9BCD3" w14:textId="77777777" w:rsidR="002B7CDB" w:rsidRPr="009102B3" w:rsidRDefault="002B7CDB" w:rsidP="002B7CDB">
      <w:pPr>
        <w:jc w:val="both"/>
        <w:rPr>
          <w:rFonts w:ascii="Arial" w:hAnsi="Arial" w:cs="Arial"/>
        </w:rPr>
      </w:pPr>
    </w:p>
    <w:p w14:paraId="06BDB270" w14:textId="77777777" w:rsidR="002B7CDB" w:rsidRPr="009102B3" w:rsidRDefault="002B7CDB" w:rsidP="002B7CDB">
      <w:pPr>
        <w:jc w:val="both"/>
        <w:rPr>
          <w:rFonts w:ascii="Arial" w:hAnsi="Arial" w:cs="Arial"/>
        </w:rPr>
      </w:pPr>
    </w:p>
    <w:p w14:paraId="3673269D" w14:textId="77777777" w:rsidR="002B7CDB" w:rsidRPr="009102B3" w:rsidRDefault="002B7CDB" w:rsidP="002B7CDB">
      <w:pPr>
        <w:ind w:left="375"/>
        <w:jc w:val="center"/>
        <w:rPr>
          <w:rFonts w:ascii="Arial" w:hAnsi="Arial" w:cs="Arial"/>
        </w:rPr>
      </w:pPr>
      <w:r w:rsidRPr="009102B3">
        <w:rPr>
          <w:rFonts w:ascii="Arial" w:hAnsi="Arial" w:cs="Arial"/>
          <w:b/>
        </w:rPr>
        <w:t>DOS TETOS FINANCEIROS E PAGAMENTO AOS PRESTADORES</w:t>
      </w:r>
    </w:p>
    <w:p w14:paraId="7A9D2A27" w14:textId="77777777" w:rsidR="002B7CDB" w:rsidRPr="009102B3" w:rsidRDefault="002B7CDB" w:rsidP="002B7CDB">
      <w:pPr>
        <w:jc w:val="both"/>
        <w:rPr>
          <w:rFonts w:ascii="Arial" w:hAnsi="Arial" w:cs="Arial"/>
          <w:b/>
        </w:rPr>
      </w:pPr>
    </w:p>
    <w:p w14:paraId="7A670131"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34</w:t>
      </w:r>
      <w:r w:rsidRPr="009102B3">
        <w:rPr>
          <w:rFonts w:ascii="Arial" w:hAnsi="Arial" w:cs="Arial"/>
        </w:rPr>
        <w:t xml:space="preserve"> - A SES repassará os Encontros de Contas para a Gestão Municipal por meio de transferência fundo a fundo, já os prestadores de serviço sob Gestão Estadual serão pagos dentro do contrato vigente sempre na lógica de pagamento por produção de acordo com a data do processamento.</w:t>
      </w:r>
    </w:p>
    <w:p w14:paraId="5CA5ABB6" w14:textId="77777777" w:rsidR="002B7CDB" w:rsidRPr="009102B3" w:rsidRDefault="002B7CDB" w:rsidP="002B7CDB">
      <w:pPr>
        <w:ind w:left="426" w:hanging="426"/>
        <w:jc w:val="both"/>
        <w:rPr>
          <w:rFonts w:ascii="Arial" w:hAnsi="Arial" w:cs="Arial"/>
        </w:rPr>
      </w:pPr>
    </w:p>
    <w:p w14:paraId="5AB94925" w14:textId="77777777" w:rsidR="002B7CDB" w:rsidRPr="009102B3" w:rsidRDefault="002B7CDB" w:rsidP="002B7CDB">
      <w:pPr>
        <w:ind w:left="375"/>
        <w:jc w:val="center"/>
        <w:rPr>
          <w:rFonts w:ascii="Arial" w:hAnsi="Arial" w:cs="Arial"/>
        </w:rPr>
      </w:pPr>
      <w:r w:rsidRPr="009102B3">
        <w:rPr>
          <w:rFonts w:ascii="Arial" w:hAnsi="Arial" w:cs="Arial"/>
          <w:b/>
        </w:rPr>
        <w:t>DA PRESTAÇÃO DE CONTAS</w:t>
      </w:r>
    </w:p>
    <w:p w14:paraId="1137FD17" w14:textId="77777777" w:rsidR="002B7CDB" w:rsidRPr="009102B3" w:rsidRDefault="002B7CDB" w:rsidP="002B7CDB">
      <w:pPr>
        <w:jc w:val="both"/>
        <w:rPr>
          <w:rFonts w:ascii="Arial" w:hAnsi="Arial" w:cs="Arial"/>
          <w:b/>
        </w:rPr>
      </w:pPr>
    </w:p>
    <w:p w14:paraId="2BF51D5E" w14:textId="77777777" w:rsidR="002B7CDB" w:rsidRDefault="002B7CDB" w:rsidP="002B7CDB">
      <w:pPr>
        <w:jc w:val="both"/>
        <w:rPr>
          <w:rFonts w:ascii="Arial" w:hAnsi="Arial" w:cs="Arial"/>
        </w:rPr>
      </w:pPr>
      <w:r w:rsidRPr="000A0D22">
        <w:rPr>
          <w:rFonts w:ascii="Arial" w:hAnsi="Arial" w:cs="Arial"/>
          <w:b/>
        </w:rPr>
        <w:t xml:space="preserve">Art. </w:t>
      </w:r>
      <w:r>
        <w:rPr>
          <w:rFonts w:ascii="Arial" w:hAnsi="Arial" w:cs="Arial"/>
          <w:b/>
        </w:rPr>
        <w:t>35</w:t>
      </w:r>
      <w:r w:rsidRPr="009102B3">
        <w:rPr>
          <w:rFonts w:ascii="Arial" w:hAnsi="Arial" w:cs="Arial"/>
        </w:rPr>
        <w:t xml:space="preserve"> - O Estado fará a cada mês um Encontro de Contas Físico e Financeiro da execução da Campanha por Gestor, apresentando a avaliação individual de cada município sob Gestão </w:t>
      </w:r>
      <w:r w:rsidRPr="002B7CDB">
        <w:rPr>
          <w:rFonts w:ascii="Arial" w:hAnsi="Arial" w:cs="Arial"/>
        </w:rPr>
        <w:t>Municipal e Estadual, que apresentou produção para os procedimentos da Campanha ligados as faixas</w:t>
      </w:r>
      <w:r w:rsidRPr="009102B3">
        <w:rPr>
          <w:rFonts w:ascii="Arial" w:hAnsi="Arial" w:cs="Arial"/>
        </w:rPr>
        <w:t xml:space="preserve"> disponibilizadas para que se efetuem os pagamentos dos condicionantes enunciados nos </w:t>
      </w:r>
      <w:r>
        <w:rPr>
          <w:rFonts w:ascii="Arial" w:hAnsi="Arial" w:cs="Arial"/>
        </w:rPr>
        <w:t>artigos</w:t>
      </w:r>
      <w:r w:rsidRPr="009102B3">
        <w:rPr>
          <w:rFonts w:ascii="Arial" w:hAnsi="Arial" w:cs="Arial"/>
        </w:rPr>
        <w:t xml:space="preserve"> anteriores e publicará no site da SES.</w:t>
      </w:r>
    </w:p>
    <w:p w14:paraId="757479F5" w14:textId="77777777" w:rsidR="002B7CDB" w:rsidRPr="009102B3" w:rsidRDefault="002B7CDB" w:rsidP="002B7CDB">
      <w:pPr>
        <w:jc w:val="both"/>
        <w:rPr>
          <w:rFonts w:ascii="Arial" w:hAnsi="Arial" w:cs="Arial"/>
          <w:b/>
          <w:bCs/>
        </w:rPr>
      </w:pPr>
    </w:p>
    <w:p w14:paraId="1077B1E7" w14:textId="77777777" w:rsidR="002B7CDB" w:rsidRDefault="002B7CDB" w:rsidP="002B7CDB">
      <w:pPr>
        <w:jc w:val="both"/>
        <w:rPr>
          <w:rFonts w:ascii="Arial" w:hAnsi="Arial" w:cs="Arial"/>
        </w:rPr>
      </w:pPr>
      <w:r w:rsidRPr="000A0D22">
        <w:rPr>
          <w:rFonts w:ascii="Arial" w:hAnsi="Arial" w:cs="Arial"/>
          <w:b/>
        </w:rPr>
        <w:lastRenderedPageBreak/>
        <w:t xml:space="preserve">Parágrafo </w:t>
      </w:r>
      <w:r>
        <w:rPr>
          <w:rFonts w:ascii="Arial" w:hAnsi="Arial" w:cs="Arial"/>
          <w:b/>
        </w:rPr>
        <w:t>primeiro</w:t>
      </w:r>
      <w:r w:rsidRPr="009102B3">
        <w:rPr>
          <w:rFonts w:ascii="Arial" w:hAnsi="Arial" w:cs="Arial"/>
        </w:rPr>
        <w:t xml:space="preserve"> - Para os serviços sob Gestão Municipal a SES irá ressarcir no Encontro de Contas Físico e Financeiro da execução da Campanha os valores </w:t>
      </w:r>
      <w:r>
        <w:rPr>
          <w:rFonts w:ascii="Arial" w:hAnsi="Arial" w:cs="Arial"/>
        </w:rPr>
        <w:t xml:space="preserve">dos procedimentos </w:t>
      </w:r>
      <w:r w:rsidRPr="009102B3">
        <w:rPr>
          <w:rFonts w:ascii="Arial" w:hAnsi="Arial" w:cs="Arial"/>
        </w:rPr>
        <w:t>da Faixa Estadual</w:t>
      </w:r>
      <w:r>
        <w:rPr>
          <w:rFonts w:ascii="Arial" w:hAnsi="Arial" w:cs="Arial"/>
        </w:rPr>
        <w:t xml:space="preserve"> e seu respectivo prêmio</w:t>
      </w:r>
      <w:r w:rsidRPr="009102B3">
        <w:rPr>
          <w:rFonts w:ascii="Arial" w:hAnsi="Arial" w:cs="Arial"/>
        </w:rPr>
        <w:t xml:space="preserve"> </w:t>
      </w:r>
      <w:r w:rsidRPr="00F17A2C">
        <w:rPr>
          <w:rFonts w:ascii="Arial" w:hAnsi="Arial" w:cs="Arial"/>
        </w:rPr>
        <w:t>e a diferença do prêmio da Faixa Ministerial</w:t>
      </w:r>
      <w:r>
        <w:rPr>
          <w:rFonts w:ascii="Arial" w:hAnsi="Arial" w:cs="Arial"/>
        </w:rPr>
        <w:t>. Nos tratamentos esclerosantes</w:t>
      </w:r>
      <w:r w:rsidRPr="009102B3">
        <w:rPr>
          <w:rFonts w:ascii="Arial" w:hAnsi="Arial" w:cs="Arial"/>
        </w:rPr>
        <w:t xml:space="preserve"> </w:t>
      </w:r>
      <w:r>
        <w:rPr>
          <w:rFonts w:ascii="Arial" w:hAnsi="Arial" w:cs="Arial"/>
        </w:rPr>
        <w:t>serão ressarcidos somente o prêmio.</w:t>
      </w:r>
    </w:p>
    <w:p w14:paraId="5AF0B52C" w14:textId="77777777" w:rsidR="002B7CDB" w:rsidRPr="009102B3" w:rsidRDefault="002B7CDB" w:rsidP="002B7CDB">
      <w:pPr>
        <w:jc w:val="both"/>
        <w:rPr>
          <w:rFonts w:ascii="Arial" w:hAnsi="Arial" w:cs="Arial"/>
        </w:rPr>
      </w:pPr>
    </w:p>
    <w:p w14:paraId="5F63330C" w14:textId="77777777" w:rsidR="002B7CDB" w:rsidRPr="009102B3" w:rsidRDefault="002B7CDB" w:rsidP="002B7CDB">
      <w:pPr>
        <w:jc w:val="both"/>
        <w:rPr>
          <w:rFonts w:ascii="Arial" w:hAnsi="Arial" w:cs="Arial"/>
        </w:rPr>
      </w:pPr>
      <w:r w:rsidRPr="002B7CDB">
        <w:rPr>
          <w:rFonts w:ascii="Arial" w:hAnsi="Arial" w:cs="Arial"/>
          <w:b/>
          <w:bCs/>
        </w:rPr>
        <w:t>Parágrafo segundo</w:t>
      </w:r>
      <w:r w:rsidRPr="002B7CDB">
        <w:rPr>
          <w:rFonts w:ascii="Arial" w:hAnsi="Arial" w:cs="Arial"/>
        </w:rPr>
        <w:t xml:space="preserve"> – Excepcionalmente na competência janeiro 2021 não será avaliada pela GECOA o cumprimento da meta estabelecida no Anexo II, permanecendo os demais critérios do parágrafo anterior.</w:t>
      </w:r>
      <w:r>
        <w:rPr>
          <w:rFonts w:ascii="Arial" w:hAnsi="Arial" w:cs="Arial"/>
        </w:rPr>
        <w:t xml:space="preserve">  </w:t>
      </w:r>
    </w:p>
    <w:p w14:paraId="7BAA39EF" w14:textId="77777777" w:rsidR="002B7CDB" w:rsidRDefault="002B7CDB" w:rsidP="002B7CDB">
      <w:pPr>
        <w:jc w:val="both"/>
        <w:rPr>
          <w:rFonts w:ascii="Arial" w:hAnsi="Arial" w:cs="Arial"/>
        </w:rPr>
      </w:pPr>
    </w:p>
    <w:p w14:paraId="4C7D7937"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36</w:t>
      </w:r>
      <w:r w:rsidRPr="009102B3">
        <w:rPr>
          <w:rFonts w:ascii="Arial" w:hAnsi="Arial" w:cs="Arial"/>
        </w:rPr>
        <w:t xml:space="preserve"> - O acesso dos pacientes deverá ser realizado via regulação para que se respeitem as filas de espera. Caberá ao município de residência, CIR, Regional de Saúde, áreas técnicas da SES e COSEMS fazer este acompanhamento para garantia do acesso a todos os munícipes do Estado.  </w:t>
      </w:r>
    </w:p>
    <w:p w14:paraId="04A00255" w14:textId="77777777" w:rsidR="002B7CDB" w:rsidRPr="009102B3" w:rsidRDefault="002B7CDB" w:rsidP="002B7CDB">
      <w:pPr>
        <w:jc w:val="both"/>
        <w:rPr>
          <w:rFonts w:ascii="Arial" w:hAnsi="Arial" w:cs="Arial"/>
        </w:rPr>
      </w:pPr>
    </w:p>
    <w:p w14:paraId="09863812"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37</w:t>
      </w:r>
      <w:r w:rsidRPr="009102B3">
        <w:rPr>
          <w:rFonts w:ascii="Arial" w:hAnsi="Arial" w:cs="Arial"/>
        </w:rPr>
        <w:t xml:space="preserve"> - A manutenção da campanha está vinculada ao recurso máximo previsto nesta deliberação, podendo ser ampliada caso haja repasse de recursos federais para além do teto já executado.</w:t>
      </w:r>
    </w:p>
    <w:p w14:paraId="7D21BF0F" w14:textId="77777777" w:rsidR="002B7CDB" w:rsidRPr="009102B3" w:rsidRDefault="002B7CDB" w:rsidP="002B7CDB">
      <w:pPr>
        <w:jc w:val="both"/>
        <w:rPr>
          <w:rFonts w:ascii="Arial" w:hAnsi="Arial" w:cs="Arial"/>
        </w:rPr>
      </w:pPr>
    </w:p>
    <w:p w14:paraId="12ABAF51"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38</w:t>
      </w:r>
      <w:r w:rsidRPr="009102B3">
        <w:rPr>
          <w:rFonts w:ascii="Arial" w:hAnsi="Arial" w:cs="Arial"/>
        </w:rPr>
        <w:t xml:space="preserve"> - Fica limitado o valor do acordo judicial para financiamento dos prestadores que não se enquadram na Lei Estadual nº 16.968/2016 que instituiu Fundo Estadual de Apoio aos Hospitais Filantrópicos de Santa Catarina, ao Centro de Hematologia e Hemoterapia de Santa Catarina (HEMOSC), ao Centro de Pesquisas Oncológicas Dr. Alfredo Daura Jorge (CEPON) e aos Hospitais Municipais.</w:t>
      </w:r>
    </w:p>
    <w:p w14:paraId="5F717C7B" w14:textId="77777777" w:rsidR="002B7CDB" w:rsidRPr="009102B3" w:rsidRDefault="002B7CDB" w:rsidP="002B7CDB">
      <w:pPr>
        <w:ind w:left="426" w:hanging="426"/>
        <w:jc w:val="both"/>
        <w:rPr>
          <w:rFonts w:ascii="Arial" w:hAnsi="Arial" w:cs="Arial"/>
        </w:rPr>
      </w:pPr>
    </w:p>
    <w:p w14:paraId="1FC17485" w14:textId="77777777" w:rsidR="002B7CDB" w:rsidRDefault="002B7CDB" w:rsidP="002B7CDB">
      <w:pPr>
        <w:ind w:left="375"/>
        <w:jc w:val="both"/>
        <w:rPr>
          <w:rFonts w:ascii="Arial" w:hAnsi="Arial" w:cs="Arial"/>
          <w:b/>
        </w:rPr>
      </w:pPr>
    </w:p>
    <w:p w14:paraId="5B9FD321" w14:textId="77777777" w:rsidR="002B7CDB" w:rsidRPr="009102B3" w:rsidRDefault="002B7CDB" w:rsidP="002B7CDB">
      <w:pPr>
        <w:ind w:left="375"/>
        <w:jc w:val="center"/>
        <w:rPr>
          <w:rFonts w:ascii="Arial" w:hAnsi="Arial" w:cs="Arial"/>
        </w:rPr>
      </w:pPr>
      <w:r w:rsidRPr="009102B3">
        <w:rPr>
          <w:rFonts w:ascii="Arial" w:hAnsi="Arial" w:cs="Arial"/>
          <w:b/>
        </w:rPr>
        <w:t>REGRAS GERAIS APLICÁVEIS</w:t>
      </w:r>
    </w:p>
    <w:p w14:paraId="1D737766" w14:textId="77777777" w:rsidR="002B7CDB" w:rsidRPr="009102B3" w:rsidRDefault="002B7CDB" w:rsidP="002B7CDB">
      <w:pPr>
        <w:jc w:val="both"/>
        <w:rPr>
          <w:rFonts w:ascii="Arial" w:hAnsi="Arial" w:cs="Arial"/>
          <w:b/>
        </w:rPr>
      </w:pPr>
    </w:p>
    <w:p w14:paraId="71B858CC"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39</w:t>
      </w:r>
      <w:r w:rsidRPr="009102B3">
        <w:rPr>
          <w:rFonts w:ascii="Arial" w:hAnsi="Arial" w:cs="Arial"/>
        </w:rPr>
        <w:t xml:space="preserve"> - Fica mantida a regra de pagamento de R$ 250,00 para cada Lâmina de Shaver utilizada na realização de procedimentos constantes no rol de procedimentos da Campanha Estadual de Cirurgias Eletivas.</w:t>
      </w:r>
    </w:p>
    <w:p w14:paraId="483374A8" w14:textId="77777777" w:rsidR="002B7CDB" w:rsidRPr="009102B3" w:rsidRDefault="002B7CDB" w:rsidP="002B7CDB">
      <w:pPr>
        <w:jc w:val="both"/>
        <w:rPr>
          <w:rFonts w:ascii="Arial" w:hAnsi="Arial" w:cs="Arial"/>
        </w:rPr>
      </w:pPr>
    </w:p>
    <w:p w14:paraId="790F3642" w14:textId="77777777" w:rsidR="002B7CDB" w:rsidRPr="009102B3" w:rsidRDefault="002B7CDB" w:rsidP="002B7CDB">
      <w:pPr>
        <w:jc w:val="both"/>
        <w:rPr>
          <w:rFonts w:ascii="Arial" w:hAnsi="Arial" w:cs="Arial"/>
        </w:rPr>
      </w:pPr>
      <w:r w:rsidRPr="000A0D22">
        <w:rPr>
          <w:rFonts w:ascii="Arial" w:hAnsi="Arial" w:cs="Arial"/>
          <w:b/>
        </w:rPr>
        <w:t xml:space="preserve">Parágrafo </w:t>
      </w:r>
      <w:r>
        <w:rPr>
          <w:rFonts w:ascii="Arial" w:hAnsi="Arial" w:cs="Arial"/>
          <w:b/>
        </w:rPr>
        <w:t>único</w:t>
      </w:r>
      <w:r w:rsidRPr="009102B3">
        <w:rPr>
          <w:rFonts w:ascii="Arial" w:hAnsi="Arial" w:cs="Arial"/>
        </w:rPr>
        <w:t xml:space="preserve"> - Os municípios que possuem a gestão dos serviços deverão encaminhar </w:t>
      </w:r>
      <w:r>
        <w:rPr>
          <w:rFonts w:ascii="Arial" w:hAnsi="Arial" w:cs="Arial"/>
        </w:rPr>
        <w:t xml:space="preserve">através de ofício </w:t>
      </w:r>
      <w:r w:rsidRPr="009102B3">
        <w:rPr>
          <w:rFonts w:ascii="Arial" w:hAnsi="Arial" w:cs="Arial"/>
        </w:rPr>
        <w:t>a GECOA, até o mês subseqüente do atendimento, as AIHs que demonstrem a utilização da Lâmina de Shaver</w:t>
      </w:r>
      <w:r>
        <w:rPr>
          <w:rFonts w:ascii="Arial" w:hAnsi="Arial" w:cs="Arial"/>
        </w:rPr>
        <w:t xml:space="preserve"> e estas serão validadas pela Gerência de Processamento - GEPRO.</w:t>
      </w:r>
    </w:p>
    <w:p w14:paraId="57A16B06" w14:textId="77777777" w:rsidR="002B7CDB" w:rsidRPr="009102B3" w:rsidRDefault="002B7CDB" w:rsidP="002B7CDB">
      <w:pPr>
        <w:jc w:val="both"/>
        <w:rPr>
          <w:rFonts w:ascii="Arial" w:hAnsi="Arial" w:cs="Arial"/>
        </w:rPr>
      </w:pPr>
    </w:p>
    <w:p w14:paraId="6693B87E"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40</w:t>
      </w:r>
      <w:r w:rsidRPr="009102B3">
        <w:rPr>
          <w:rFonts w:ascii="Arial" w:hAnsi="Arial" w:cs="Arial"/>
        </w:rPr>
        <w:t xml:space="preserve"> - </w:t>
      </w:r>
      <w:r>
        <w:rPr>
          <w:rFonts w:ascii="Arial" w:hAnsi="Arial" w:cs="Arial"/>
        </w:rPr>
        <w:t xml:space="preserve">Os tratamentos esclerosantes, apesar de possuírem financiamento FAEC, não fazem parte da Campanha Federal, e passarão a compor a campanha para estimular série histórica considerando futura incorporação ao teto MAC. </w:t>
      </w:r>
    </w:p>
    <w:p w14:paraId="4C19A884" w14:textId="77777777" w:rsidR="002B7CDB" w:rsidRDefault="002B7CDB" w:rsidP="002B7CDB">
      <w:pPr>
        <w:jc w:val="both"/>
        <w:rPr>
          <w:rFonts w:ascii="Arial" w:hAnsi="Arial" w:cs="Arial"/>
        </w:rPr>
      </w:pPr>
    </w:p>
    <w:p w14:paraId="0F62BBA1"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41</w:t>
      </w:r>
      <w:r w:rsidRPr="009102B3">
        <w:rPr>
          <w:rFonts w:ascii="Arial" w:hAnsi="Arial" w:cs="Arial"/>
        </w:rPr>
        <w:t xml:space="preserve"> - Aplica-se a regra já vigente no que tange ao financiamento de Cirurgias Múltiplas, que prevê que para ser considerado procedimento financiável pela Campanha de Cirurgias Eletivas, o procedimento principal da Cirurgia Múltipla deverá estar incluso no rol de procedimentos elegíveis da referida Campanha.</w:t>
      </w:r>
    </w:p>
    <w:p w14:paraId="59C4C3A3" w14:textId="77777777" w:rsidR="002B7CDB" w:rsidRPr="009102B3" w:rsidRDefault="002B7CDB" w:rsidP="002B7CDB">
      <w:pPr>
        <w:jc w:val="both"/>
        <w:rPr>
          <w:rFonts w:ascii="Arial" w:hAnsi="Arial" w:cs="Arial"/>
        </w:rPr>
      </w:pPr>
    </w:p>
    <w:p w14:paraId="6C922E3C" w14:textId="77777777" w:rsidR="002B7CDB" w:rsidRPr="009102B3" w:rsidRDefault="002B7CDB" w:rsidP="002B7CDB">
      <w:pPr>
        <w:jc w:val="both"/>
        <w:rPr>
          <w:rFonts w:ascii="Arial" w:hAnsi="Arial" w:cs="Arial"/>
        </w:rPr>
      </w:pPr>
      <w:r w:rsidRPr="000A0D22">
        <w:rPr>
          <w:rFonts w:ascii="Arial" w:hAnsi="Arial" w:cs="Arial"/>
          <w:b/>
        </w:rPr>
        <w:t xml:space="preserve">Art. </w:t>
      </w:r>
      <w:r>
        <w:rPr>
          <w:rFonts w:ascii="Arial" w:hAnsi="Arial" w:cs="Arial"/>
          <w:b/>
        </w:rPr>
        <w:t>42</w:t>
      </w:r>
      <w:r w:rsidRPr="009102B3">
        <w:rPr>
          <w:rFonts w:ascii="Arial" w:hAnsi="Arial" w:cs="Arial"/>
        </w:rPr>
        <w:t xml:space="preserve"> - A GECOA deverá proceder a análise e o acompanhamento da produção de cada prestador, através das faixas numéricas disponibilizadas no Sistema de Controle AC ou SISREG.</w:t>
      </w:r>
    </w:p>
    <w:p w14:paraId="3F04B4D3" w14:textId="77777777" w:rsidR="002B7CDB" w:rsidRPr="009102B3" w:rsidRDefault="002B7CDB" w:rsidP="002B7CDB">
      <w:pPr>
        <w:jc w:val="both"/>
        <w:rPr>
          <w:rFonts w:ascii="Arial" w:hAnsi="Arial" w:cs="Arial"/>
        </w:rPr>
      </w:pPr>
    </w:p>
    <w:p w14:paraId="3299D466" w14:textId="77777777" w:rsidR="002B7CDB" w:rsidRDefault="002B7CDB" w:rsidP="002B7CDB">
      <w:pPr>
        <w:jc w:val="both"/>
        <w:rPr>
          <w:rFonts w:ascii="Arial" w:hAnsi="Arial" w:cs="Arial"/>
        </w:rPr>
      </w:pPr>
      <w:r w:rsidRPr="000A0D22">
        <w:rPr>
          <w:rFonts w:ascii="Arial" w:hAnsi="Arial" w:cs="Arial"/>
          <w:b/>
        </w:rPr>
        <w:lastRenderedPageBreak/>
        <w:t xml:space="preserve">Art. </w:t>
      </w:r>
      <w:r>
        <w:rPr>
          <w:rFonts w:ascii="Arial" w:hAnsi="Arial" w:cs="Arial"/>
          <w:b/>
        </w:rPr>
        <w:t>43</w:t>
      </w:r>
      <w:r w:rsidRPr="009102B3">
        <w:rPr>
          <w:rFonts w:ascii="Arial" w:hAnsi="Arial" w:cs="Arial"/>
        </w:rPr>
        <w:t xml:space="preserve"> - Esta Deliberação tem como parte integrante</w:t>
      </w:r>
      <w:r>
        <w:rPr>
          <w:rFonts w:ascii="Arial" w:hAnsi="Arial" w:cs="Arial"/>
        </w:rPr>
        <w:t xml:space="preserve"> o</w:t>
      </w:r>
      <w:r w:rsidRPr="009102B3">
        <w:rPr>
          <w:rFonts w:ascii="Arial" w:hAnsi="Arial" w:cs="Arial"/>
        </w:rPr>
        <w:t xml:space="preserve"> Anexo</w:t>
      </w:r>
      <w:r>
        <w:rPr>
          <w:rFonts w:ascii="Arial" w:hAnsi="Arial" w:cs="Arial"/>
        </w:rPr>
        <w:t xml:space="preserve"> I com</w:t>
      </w:r>
      <w:r w:rsidRPr="009102B3">
        <w:rPr>
          <w:rFonts w:ascii="Arial" w:hAnsi="Arial" w:cs="Arial"/>
        </w:rPr>
        <w:t xml:space="preserve"> o Rol de Procedimentos Elegíveis para a Campanha de Cirurgias Eletivas </w:t>
      </w:r>
      <w:r>
        <w:rPr>
          <w:rFonts w:ascii="Arial" w:hAnsi="Arial" w:cs="Arial"/>
        </w:rPr>
        <w:t>do</w:t>
      </w:r>
      <w:r w:rsidRPr="009102B3">
        <w:rPr>
          <w:rFonts w:ascii="Arial" w:hAnsi="Arial" w:cs="Arial"/>
        </w:rPr>
        <w:t xml:space="preserve"> </w:t>
      </w:r>
      <w:r>
        <w:rPr>
          <w:rFonts w:ascii="Arial" w:hAnsi="Arial" w:cs="Arial"/>
        </w:rPr>
        <w:t>ano</w:t>
      </w:r>
      <w:r w:rsidRPr="009102B3">
        <w:rPr>
          <w:rFonts w:ascii="Arial" w:hAnsi="Arial" w:cs="Arial"/>
        </w:rPr>
        <w:t xml:space="preserve"> de 202</w:t>
      </w:r>
      <w:r>
        <w:rPr>
          <w:rFonts w:ascii="Arial" w:hAnsi="Arial" w:cs="Arial"/>
        </w:rPr>
        <w:t>1</w:t>
      </w:r>
      <w:r w:rsidRPr="009102B3">
        <w:rPr>
          <w:rFonts w:ascii="Arial" w:hAnsi="Arial" w:cs="Arial"/>
        </w:rPr>
        <w:t xml:space="preserve"> com o valor de cada Grupo/Procedimento e seu prêmio correspondente</w:t>
      </w:r>
      <w:r>
        <w:rPr>
          <w:rFonts w:ascii="Arial" w:hAnsi="Arial" w:cs="Arial"/>
        </w:rPr>
        <w:t xml:space="preserve"> e no Anexo II a programação do</w:t>
      </w:r>
      <w:r w:rsidRPr="009102B3">
        <w:rPr>
          <w:rFonts w:ascii="Arial" w:hAnsi="Arial" w:cs="Arial"/>
        </w:rPr>
        <w:t>s recursos estabelecidos na Portaria GM/MS nº 3.</w:t>
      </w:r>
      <w:r>
        <w:rPr>
          <w:rFonts w:ascii="Arial" w:hAnsi="Arial" w:cs="Arial"/>
        </w:rPr>
        <w:t xml:space="preserve">641/2020 juntamente com a meta física </w:t>
      </w:r>
      <w:r w:rsidRPr="009102B3">
        <w:rPr>
          <w:rFonts w:ascii="Arial" w:hAnsi="Arial" w:cs="Arial"/>
        </w:rPr>
        <w:t>mensal que deverá ser cumprida por cada gestor para que o excedente seja financiado pelo FAEC</w:t>
      </w:r>
      <w:r>
        <w:rPr>
          <w:rFonts w:ascii="Arial" w:hAnsi="Arial" w:cs="Arial"/>
        </w:rPr>
        <w:t xml:space="preserve">, conforme </w:t>
      </w:r>
      <w:r w:rsidRPr="009102B3">
        <w:rPr>
          <w:rFonts w:ascii="Arial" w:hAnsi="Arial" w:cs="Arial"/>
        </w:rPr>
        <w:t xml:space="preserve">critérios do </w:t>
      </w:r>
      <w:r>
        <w:rPr>
          <w:rFonts w:ascii="Arial" w:hAnsi="Arial" w:cs="Arial"/>
        </w:rPr>
        <w:t>a</w:t>
      </w:r>
      <w:r w:rsidRPr="009102B3">
        <w:rPr>
          <w:rFonts w:ascii="Arial" w:hAnsi="Arial" w:cs="Arial"/>
        </w:rPr>
        <w:t xml:space="preserve">rtigo 3º da </w:t>
      </w:r>
      <w:r>
        <w:rPr>
          <w:rFonts w:ascii="Arial" w:hAnsi="Arial" w:cs="Arial"/>
        </w:rPr>
        <w:t>p</w:t>
      </w:r>
      <w:r w:rsidRPr="009102B3">
        <w:rPr>
          <w:rFonts w:ascii="Arial" w:hAnsi="Arial" w:cs="Arial"/>
        </w:rPr>
        <w:t xml:space="preserve">ortaria </w:t>
      </w:r>
      <w:r>
        <w:rPr>
          <w:rFonts w:ascii="Arial" w:hAnsi="Arial" w:cs="Arial"/>
        </w:rPr>
        <w:t>supracitada.</w:t>
      </w:r>
    </w:p>
    <w:p w14:paraId="52762D69" w14:textId="77777777" w:rsidR="002B7CDB" w:rsidRDefault="002B7CDB" w:rsidP="002B7CDB">
      <w:pPr>
        <w:jc w:val="both"/>
        <w:rPr>
          <w:rFonts w:ascii="Arial" w:hAnsi="Arial" w:cs="Arial"/>
        </w:rPr>
      </w:pPr>
    </w:p>
    <w:p w14:paraId="1AB9059D" w14:textId="77777777" w:rsidR="002B7CDB" w:rsidRDefault="002B7CDB" w:rsidP="002B7CDB">
      <w:pPr>
        <w:jc w:val="both"/>
        <w:rPr>
          <w:rFonts w:ascii="Arial" w:hAnsi="Arial" w:cs="Arial"/>
        </w:rPr>
      </w:pPr>
      <w:r w:rsidRPr="002B7CDB">
        <w:rPr>
          <w:rFonts w:ascii="Arial" w:hAnsi="Arial" w:cs="Arial"/>
          <w:b/>
        </w:rPr>
        <w:t>Art. 44</w:t>
      </w:r>
      <w:r w:rsidRPr="002B7CDB">
        <w:rPr>
          <w:rFonts w:ascii="Arial" w:hAnsi="Arial" w:cs="Arial"/>
        </w:rPr>
        <w:t xml:space="preserve"> – Fica revogada a Deliberação nº 110/CIB/2020.</w:t>
      </w:r>
    </w:p>
    <w:p w14:paraId="4719242A" w14:textId="77777777" w:rsidR="002B7CDB" w:rsidRDefault="002B7CDB" w:rsidP="002B7CDB">
      <w:pPr>
        <w:jc w:val="both"/>
        <w:rPr>
          <w:rFonts w:ascii="Arial" w:hAnsi="Arial" w:cs="Arial"/>
        </w:rPr>
      </w:pPr>
    </w:p>
    <w:p w14:paraId="2A8D27B7" w14:textId="77777777" w:rsidR="00003722" w:rsidRDefault="00003722" w:rsidP="00077D3F">
      <w:pPr>
        <w:shd w:val="clear" w:color="auto" w:fill="FFFFFF"/>
        <w:spacing w:line="276" w:lineRule="auto"/>
        <w:ind w:left="-284"/>
        <w:jc w:val="both"/>
        <w:rPr>
          <w:rFonts w:ascii="Arial" w:hAnsi="Arial" w:cs="Arial"/>
          <w:b/>
        </w:rPr>
      </w:pPr>
    </w:p>
    <w:p w14:paraId="043963C3" w14:textId="77777777" w:rsidR="00003722" w:rsidRPr="00AB1B2B" w:rsidRDefault="00003722" w:rsidP="00997615">
      <w:pPr>
        <w:spacing w:line="360" w:lineRule="auto"/>
        <w:ind w:right="-2"/>
        <w:rPr>
          <w:rFonts w:ascii="Arial" w:hAnsi="Arial" w:cs="Arial"/>
        </w:rPr>
      </w:pPr>
      <w:r w:rsidRPr="006C3B12">
        <w:rPr>
          <w:rFonts w:ascii="Arial" w:hAnsi="Arial" w:cs="Arial"/>
          <w:b/>
        </w:rPr>
        <w:t xml:space="preserve">                                                  </w:t>
      </w:r>
      <w:r>
        <w:rPr>
          <w:rFonts w:ascii="Arial" w:hAnsi="Arial" w:cs="Arial"/>
          <w:b/>
        </w:rPr>
        <w:t xml:space="preserve">             </w:t>
      </w:r>
      <w:r w:rsidR="002C13CF">
        <w:rPr>
          <w:rFonts w:ascii="Arial" w:hAnsi="Arial" w:cs="Arial"/>
          <w:b/>
        </w:rPr>
        <w:t xml:space="preserve"> </w:t>
      </w:r>
      <w:r w:rsidR="00C072A6" w:rsidRPr="00AB1B2B">
        <w:rPr>
          <w:rFonts w:ascii="Arial" w:hAnsi="Arial" w:cs="Arial"/>
        </w:rPr>
        <w:t xml:space="preserve">Florianópolis, </w:t>
      </w:r>
      <w:r w:rsidR="006B475E">
        <w:rPr>
          <w:rFonts w:ascii="Arial" w:hAnsi="Arial" w:cs="Arial"/>
        </w:rPr>
        <w:t xml:space="preserve">10 </w:t>
      </w:r>
      <w:r w:rsidR="005542FC" w:rsidRPr="00AB1B2B">
        <w:rPr>
          <w:rFonts w:ascii="Arial" w:hAnsi="Arial" w:cs="Arial"/>
        </w:rPr>
        <w:t>de fevereiro de 2021</w:t>
      </w:r>
    </w:p>
    <w:p w14:paraId="28B4DFDF" w14:textId="77777777" w:rsidR="00003722" w:rsidRDefault="00003722" w:rsidP="00997615">
      <w:pPr>
        <w:spacing w:line="360" w:lineRule="auto"/>
        <w:ind w:right="-2"/>
        <w:rPr>
          <w:rFonts w:ascii="Arial" w:hAnsi="Arial" w:cs="Arial"/>
          <w:b/>
        </w:rPr>
      </w:pPr>
      <w:r w:rsidRPr="006C3B12">
        <w:rPr>
          <w:rFonts w:ascii="Arial" w:hAnsi="Arial" w:cs="Arial"/>
          <w:b/>
        </w:rPr>
        <w:t xml:space="preserve">                                        </w:t>
      </w:r>
    </w:p>
    <w:p w14:paraId="3DFD320C" w14:textId="77777777" w:rsidR="00C10869" w:rsidRDefault="00C10869" w:rsidP="00997615">
      <w:pPr>
        <w:spacing w:line="360" w:lineRule="auto"/>
        <w:ind w:right="-2"/>
        <w:rPr>
          <w:rFonts w:ascii="Arial" w:hAnsi="Arial" w:cs="Arial"/>
          <w:b/>
        </w:rPr>
      </w:pPr>
    </w:p>
    <w:p w14:paraId="3575CD80" w14:textId="77777777" w:rsidR="00003722" w:rsidRPr="006C3B12" w:rsidRDefault="00003722" w:rsidP="00997615">
      <w:pPr>
        <w:spacing w:line="360" w:lineRule="auto"/>
        <w:ind w:right="-2"/>
        <w:rPr>
          <w:rFonts w:ascii="Arial" w:hAnsi="Arial" w:cs="Arial"/>
          <w:b/>
        </w:rPr>
      </w:pPr>
    </w:p>
    <w:tbl>
      <w:tblPr>
        <w:tblW w:w="0" w:type="auto"/>
        <w:jc w:val="center"/>
        <w:tblLayout w:type="fixed"/>
        <w:tblCellMar>
          <w:left w:w="70" w:type="dxa"/>
          <w:right w:w="70" w:type="dxa"/>
        </w:tblCellMar>
        <w:tblLook w:val="0000" w:firstRow="0" w:lastRow="0" w:firstColumn="0" w:lastColumn="0" w:noHBand="0" w:noVBand="0"/>
      </w:tblPr>
      <w:tblGrid>
        <w:gridCol w:w="4750"/>
        <w:gridCol w:w="3890"/>
      </w:tblGrid>
      <w:tr w:rsidR="00003722" w:rsidRPr="006C3B12" w14:paraId="736FDD4B" w14:textId="77777777" w:rsidTr="00640A15">
        <w:trPr>
          <w:trHeight w:val="1"/>
          <w:jc w:val="center"/>
        </w:trPr>
        <w:tc>
          <w:tcPr>
            <w:tcW w:w="4750" w:type="dxa"/>
            <w:tcBorders>
              <w:top w:val="nil"/>
              <w:left w:val="nil"/>
              <w:bottom w:val="nil"/>
              <w:right w:val="nil"/>
            </w:tcBorders>
            <w:shd w:val="clear" w:color="000000" w:fill="auto"/>
          </w:tcPr>
          <w:p w14:paraId="03598ADC" w14:textId="77777777" w:rsidR="00003722" w:rsidRPr="006C3B12" w:rsidRDefault="00003722" w:rsidP="00640A15">
            <w:pPr>
              <w:snapToGrid w:val="0"/>
              <w:jc w:val="center"/>
              <w:rPr>
                <w:rFonts w:ascii="Arial" w:hAnsi="Arial" w:cs="Arial"/>
              </w:rPr>
            </w:pPr>
            <w:r w:rsidRPr="006C3B12">
              <w:rPr>
                <w:rFonts w:ascii="Arial" w:hAnsi="Arial" w:cs="Arial"/>
                <w:b/>
                <w:bCs/>
              </w:rPr>
              <w:t>ANDRÉ MOTTA RIBEIRO</w:t>
            </w:r>
          </w:p>
        </w:tc>
        <w:tc>
          <w:tcPr>
            <w:tcW w:w="3890" w:type="dxa"/>
            <w:tcBorders>
              <w:top w:val="nil"/>
              <w:left w:val="nil"/>
              <w:bottom w:val="nil"/>
              <w:right w:val="nil"/>
            </w:tcBorders>
            <w:shd w:val="clear" w:color="000000" w:fill="auto"/>
          </w:tcPr>
          <w:p w14:paraId="1D30C7DB" w14:textId="77777777" w:rsidR="00003722" w:rsidRPr="006C3B12" w:rsidRDefault="00003722" w:rsidP="00640A15">
            <w:pPr>
              <w:jc w:val="center"/>
              <w:rPr>
                <w:rFonts w:ascii="Arial" w:hAnsi="Arial" w:cs="Arial"/>
              </w:rPr>
            </w:pPr>
            <w:r w:rsidRPr="006C3B12">
              <w:rPr>
                <w:rFonts w:ascii="Arial" w:hAnsi="Arial" w:cs="Arial"/>
                <w:b/>
              </w:rPr>
              <w:t>ALEXANDRE FAGUNDES</w:t>
            </w:r>
          </w:p>
        </w:tc>
      </w:tr>
      <w:tr w:rsidR="00003722" w:rsidRPr="006C3B12" w14:paraId="3C6C1740" w14:textId="77777777" w:rsidTr="00640A15">
        <w:trPr>
          <w:trHeight w:val="1"/>
          <w:jc w:val="center"/>
        </w:trPr>
        <w:tc>
          <w:tcPr>
            <w:tcW w:w="4750" w:type="dxa"/>
            <w:tcBorders>
              <w:top w:val="nil"/>
              <w:left w:val="nil"/>
              <w:bottom w:val="nil"/>
              <w:right w:val="nil"/>
            </w:tcBorders>
            <w:shd w:val="clear" w:color="000000" w:fill="auto"/>
          </w:tcPr>
          <w:p w14:paraId="2589840D" w14:textId="77777777" w:rsidR="00003722" w:rsidRPr="006C3B12" w:rsidRDefault="00003722" w:rsidP="00640A15">
            <w:pPr>
              <w:jc w:val="center"/>
              <w:rPr>
                <w:rFonts w:ascii="Arial" w:hAnsi="Arial" w:cs="Arial"/>
              </w:rPr>
            </w:pPr>
            <w:r w:rsidRPr="006C3B12">
              <w:rPr>
                <w:rFonts w:ascii="Arial" w:hAnsi="Arial" w:cs="Arial"/>
                <w:bCs/>
              </w:rPr>
              <w:t>Secretário de Estado da Saúde Coordenador CIB/SES</w:t>
            </w:r>
          </w:p>
        </w:tc>
        <w:tc>
          <w:tcPr>
            <w:tcW w:w="3890" w:type="dxa"/>
            <w:tcBorders>
              <w:top w:val="nil"/>
              <w:left w:val="nil"/>
              <w:bottom w:val="nil"/>
              <w:right w:val="nil"/>
            </w:tcBorders>
            <w:shd w:val="clear" w:color="000000" w:fill="auto"/>
          </w:tcPr>
          <w:p w14:paraId="279BBFAA" w14:textId="77777777" w:rsidR="00003722" w:rsidRPr="006C3B12" w:rsidRDefault="00003722" w:rsidP="00640A15">
            <w:pPr>
              <w:jc w:val="center"/>
              <w:rPr>
                <w:rFonts w:ascii="Arial" w:hAnsi="Arial" w:cs="Arial"/>
              </w:rPr>
            </w:pPr>
            <w:r w:rsidRPr="006C3B12">
              <w:rPr>
                <w:rFonts w:ascii="Arial" w:hAnsi="Arial" w:cs="Arial"/>
                <w:bCs/>
              </w:rPr>
              <w:t>Presidente do COSEMS</w:t>
            </w:r>
          </w:p>
          <w:p w14:paraId="1D14A78A" w14:textId="77777777" w:rsidR="00003722" w:rsidRPr="006C3B12" w:rsidRDefault="00003722" w:rsidP="00640A15">
            <w:pPr>
              <w:jc w:val="center"/>
              <w:rPr>
                <w:rFonts w:ascii="Arial" w:hAnsi="Arial" w:cs="Arial"/>
                <w:bCs/>
              </w:rPr>
            </w:pPr>
            <w:r w:rsidRPr="006C3B12">
              <w:rPr>
                <w:rFonts w:ascii="Arial" w:hAnsi="Arial" w:cs="Arial"/>
                <w:bCs/>
              </w:rPr>
              <w:t>Coordenador CIB/COSEMS</w:t>
            </w:r>
          </w:p>
        </w:tc>
      </w:tr>
    </w:tbl>
    <w:p w14:paraId="19C4BBFB" w14:textId="77777777" w:rsidR="00003722" w:rsidRPr="006C3B12" w:rsidRDefault="00003722" w:rsidP="000D10B5">
      <w:pPr>
        <w:tabs>
          <w:tab w:val="left" w:pos="7655"/>
        </w:tabs>
        <w:spacing w:line="276" w:lineRule="auto"/>
        <w:ind w:right="-2"/>
        <w:jc w:val="both"/>
        <w:rPr>
          <w:rFonts w:ascii="Arial" w:hAnsi="Arial" w:cs="Arial"/>
          <w:b/>
        </w:rPr>
      </w:pPr>
    </w:p>
    <w:p w14:paraId="2B6C5BD5" w14:textId="77777777" w:rsidR="00003722" w:rsidRPr="006C3B12" w:rsidRDefault="00003722" w:rsidP="000D10B5">
      <w:pPr>
        <w:tabs>
          <w:tab w:val="left" w:pos="7655"/>
        </w:tabs>
        <w:spacing w:line="276" w:lineRule="auto"/>
        <w:ind w:right="-2"/>
        <w:jc w:val="both"/>
        <w:rPr>
          <w:rFonts w:ascii="Arial" w:hAnsi="Arial" w:cs="Arial"/>
          <w:b/>
        </w:rPr>
      </w:pPr>
    </w:p>
    <w:sectPr w:rsidR="00003722" w:rsidRPr="006C3B12" w:rsidSect="005041E8">
      <w:type w:val="continuous"/>
      <w:pgSz w:w="11906" w:h="16838"/>
      <w:pgMar w:top="1134" w:right="1416" w:bottom="1418"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A1F5" w14:textId="77777777" w:rsidR="00BA031A" w:rsidRDefault="00BA031A" w:rsidP="005041E8">
      <w:r>
        <w:separator/>
      </w:r>
    </w:p>
  </w:endnote>
  <w:endnote w:type="continuationSeparator" w:id="0">
    <w:p w14:paraId="550519C4" w14:textId="77777777" w:rsidR="00BA031A" w:rsidRDefault="00BA031A" w:rsidP="0050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07948" w14:textId="77777777" w:rsidR="00BA031A" w:rsidRDefault="00BA031A" w:rsidP="005041E8">
      <w:r>
        <w:separator/>
      </w:r>
    </w:p>
  </w:footnote>
  <w:footnote w:type="continuationSeparator" w:id="0">
    <w:p w14:paraId="65B21A1A" w14:textId="77777777" w:rsidR="00BA031A" w:rsidRDefault="00BA031A" w:rsidP="0050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3AE8"/>
    <w:multiLevelType w:val="hybridMultilevel"/>
    <w:tmpl w:val="3A149922"/>
    <w:lvl w:ilvl="0" w:tplc="26A61858">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1" w15:restartNumberingAfterBreak="0">
    <w:nsid w:val="0BDF1D51"/>
    <w:multiLevelType w:val="multilevel"/>
    <w:tmpl w:val="D60C081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CCA4837"/>
    <w:multiLevelType w:val="multilevel"/>
    <w:tmpl w:val="305ED084"/>
    <w:lvl w:ilvl="0">
      <w:start w:val="1"/>
      <w:numFmt w:val="decimal"/>
      <w:lvlText w:val="%1"/>
      <w:lvlJc w:val="left"/>
      <w:pPr>
        <w:ind w:left="435" w:hanging="435"/>
      </w:pPr>
      <w:rPr>
        <w:rFonts w:eastAsia="Times New Roman" w:cs="Arial-BoldMT" w:hint="default"/>
        <w:b/>
      </w:rPr>
    </w:lvl>
    <w:lvl w:ilvl="1">
      <w:start w:val="1"/>
      <w:numFmt w:val="decimal"/>
      <w:lvlText w:val="%1.%2"/>
      <w:lvlJc w:val="left"/>
      <w:pPr>
        <w:ind w:left="435" w:hanging="435"/>
      </w:pPr>
      <w:rPr>
        <w:rFonts w:eastAsia="Times New Roman" w:cs="Arial-BoldMT" w:hint="default"/>
        <w:b/>
      </w:rPr>
    </w:lvl>
    <w:lvl w:ilvl="2">
      <w:start w:val="1"/>
      <w:numFmt w:val="decimal"/>
      <w:lvlText w:val="%1.%2.%3"/>
      <w:lvlJc w:val="left"/>
      <w:pPr>
        <w:ind w:left="720" w:hanging="720"/>
      </w:pPr>
      <w:rPr>
        <w:rFonts w:eastAsia="Times New Roman" w:cs="Arial-BoldMT" w:hint="default"/>
        <w:b/>
      </w:rPr>
    </w:lvl>
    <w:lvl w:ilvl="3">
      <w:start w:val="1"/>
      <w:numFmt w:val="decimal"/>
      <w:lvlText w:val="%1.%2.%3.%4"/>
      <w:lvlJc w:val="left"/>
      <w:pPr>
        <w:ind w:left="720" w:hanging="720"/>
      </w:pPr>
      <w:rPr>
        <w:rFonts w:eastAsia="Times New Roman" w:cs="Arial-BoldMT" w:hint="default"/>
        <w:b/>
      </w:rPr>
    </w:lvl>
    <w:lvl w:ilvl="4">
      <w:start w:val="1"/>
      <w:numFmt w:val="decimal"/>
      <w:lvlText w:val="%1.%2.%3.%4.%5"/>
      <w:lvlJc w:val="left"/>
      <w:pPr>
        <w:ind w:left="1080" w:hanging="1080"/>
      </w:pPr>
      <w:rPr>
        <w:rFonts w:eastAsia="Times New Roman" w:cs="Arial-BoldMT" w:hint="default"/>
        <w:b/>
      </w:rPr>
    </w:lvl>
    <w:lvl w:ilvl="5">
      <w:start w:val="1"/>
      <w:numFmt w:val="decimal"/>
      <w:lvlText w:val="%1.%2.%3.%4.%5.%6"/>
      <w:lvlJc w:val="left"/>
      <w:pPr>
        <w:ind w:left="1080" w:hanging="1080"/>
      </w:pPr>
      <w:rPr>
        <w:rFonts w:eastAsia="Times New Roman" w:cs="Arial-BoldMT" w:hint="default"/>
        <w:b/>
      </w:rPr>
    </w:lvl>
    <w:lvl w:ilvl="6">
      <w:start w:val="1"/>
      <w:numFmt w:val="decimal"/>
      <w:lvlText w:val="%1.%2.%3.%4.%5.%6.%7"/>
      <w:lvlJc w:val="left"/>
      <w:pPr>
        <w:ind w:left="1440" w:hanging="1440"/>
      </w:pPr>
      <w:rPr>
        <w:rFonts w:eastAsia="Times New Roman" w:cs="Arial-BoldMT" w:hint="default"/>
        <w:b/>
      </w:rPr>
    </w:lvl>
    <w:lvl w:ilvl="7">
      <w:start w:val="1"/>
      <w:numFmt w:val="decimal"/>
      <w:lvlText w:val="%1.%2.%3.%4.%5.%6.%7.%8"/>
      <w:lvlJc w:val="left"/>
      <w:pPr>
        <w:ind w:left="1440" w:hanging="1440"/>
      </w:pPr>
      <w:rPr>
        <w:rFonts w:eastAsia="Times New Roman" w:cs="Arial-BoldMT" w:hint="default"/>
        <w:b/>
      </w:rPr>
    </w:lvl>
    <w:lvl w:ilvl="8">
      <w:start w:val="1"/>
      <w:numFmt w:val="decimal"/>
      <w:lvlText w:val="%1.%2.%3.%4.%5.%6.%7.%8.%9"/>
      <w:lvlJc w:val="left"/>
      <w:pPr>
        <w:ind w:left="1800" w:hanging="1800"/>
      </w:pPr>
      <w:rPr>
        <w:rFonts w:eastAsia="Times New Roman" w:cs="Arial-BoldMT" w:hint="default"/>
        <w:b/>
      </w:rPr>
    </w:lvl>
  </w:abstractNum>
  <w:abstractNum w:abstractNumId="3" w15:restartNumberingAfterBreak="0">
    <w:nsid w:val="103166E4"/>
    <w:multiLevelType w:val="multilevel"/>
    <w:tmpl w:val="F2425C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B4C6D07"/>
    <w:multiLevelType w:val="multilevel"/>
    <w:tmpl w:val="EF7618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E90E9D"/>
    <w:multiLevelType w:val="multilevel"/>
    <w:tmpl w:val="8E747EC8"/>
    <w:lvl w:ilvl="0">
      <w:start w:val="1"/>
      <w:numFmt w:val="decimal"/>
      <w:lvlText w:val="%1"/>
      <w:lvlJc w:val="left"/>
      <w:pPr>
        <w:ind w:left="450" w:hanging="450"/>
      </w:pPr>
      <w:rPr>
        <w:rFonts w:ascii="Calibri" w:hAnsi="Calibri" w:cs="Times New Roman" w:hint="default"/>
        <w:b/>
      </w:rPr>
    </w:lvl>
    <w:lvl w:ilvl="1">
      <w:start w:val="1"/>
      <w:numFmt w:val="decimal"/>
      <w:lvlText w:val="%1.%2"/>
      <w:lvlJc w:val="left"/>
      <w:pPr>
        <w:ind w:left="450" w:hanging="450"/>
      </w:pPr>
      <w:rPr>
        <w:rFonts w:ascii="Calibri" w:hAnsi="Calibri" w:cs="Times New Roman" w:hint="default"/>
        <w:b/>
      </w:rPr>
    </w:lvl>
    <w:lvl w:ilvl="2">
      <w:start w:val="1"/>
      <w:numFmt w:val="decimal"/>
      <w:lvlText w:val="%1.%2.%3"/>
      <w:lvlJc w:val="left"/>
      <w:pPr>
        <w:ind w:left="720" w:hanging="720"/>
      </w:pPr>
      <w:rPr>
        <w:rFonts w:ascii="Calibri" w:hAnsi="Calibri" w:cs="Times New Roman" w:hint="default"/>
        <w:b/>
      </w:rPr>
    </w:lvl>
    <w:lvl w:ilvl="3">
      <w:start w:val="1"/>
      <w:numFmt w:val="decimal"/>
      <w:lvlText w:val="%1.%2.%3.%4"/>
      <w:lvlJc w:val="left"/>
      <w:pPr>
        <w:ind w:left="720" w:hanging="720"/>
      </w:pPr>
      <w:rPr>
        <w:rFonts w:ascii="Calibri" w:hAnsi="Calibri" w:cs="Times New Roman" w:hint="default"/>
        <w:b/>
      </w:rPr>
    </w:lvl>
    <w:lvl w:ilvl="4">
      <w:start w:val="1"/>
      <w:numFmt w:val="decimal"/>
      <w:lvlText w:val="%1.%2.%3.%4.%5"/>
      <w:lvlJc w:val="left"/>
      <w:pPr>
        <w:ind w:left="1080" w:hanging="1080"/>
      </w:pPr>
      <w:rPr>
        <w:rFonts w:ascii="Calibri" w:hAnsi="Calibri" w:cs="Times New Roman" w:hint="default"/>
        <w:b/>
      </w:rPr>
    </w:lvl>
    <w:lvl w:ilvl="5">
      <w:start w:val="1"/>
      <w:numFmt w:val="decimal"/>
      <w:lvlText w:val="%1.%2.%3.%4.%5.%6"/>
      <w:lvlJc w:val="left"/>
      <w:pPr>
        <w:ind w:left="1080" w:hanging="1080"/>
      </w:pPr>
      <w:rPr>
        <w:rFonts w:ascii="Calibri" w:hAnsi="Calibri" w:cs="Times New Roman" w:hint="default"/>
        <w:b/>
      </w:rPr>
    </w:lvl>
    <w:lvl w:ilvl="6">
      <w:start w:val="1"/>
      <w:numFmt w:val="decimal"/>
      <w:lvlText w:val="%1.%2.%3.%4.%5.%6.%7"/>
      <w:lvlJc w:val="left"/>
      <w:pPr>
        <w:ind w:left="1440" w:hanging="1440"/>
      </w:pPr>
      <w:rPr>
        <w:rFonts w:ascii="Calibri" w:hAnsi="Calibri" w:cs="Times New Roman" w:hint="default"/>
        <w:b/>
      </w:rPr>
    </w:lvl>
    <w:lvl w:ilvl="7">
      <w:start w:val="1"/>
      <w:numFmt w:val="decimal"/>
      <w:lvlText w:val="%1.%2.%3.%4.%5.%6.%7.%8"/>
      <w:lvlJc w:val="left"/>
      <w:pPr>
        <w:ind w:left="1440" w:hanging="1440"/>
      </w:pPr>
      <w:rPr>
        <w:rFonts w:ascii="Calibri" w:hAnsi="Calibri" w:cs="Times New Roman" w:hint="default"/>
        <w:b/>
      </w:rPr>
    </w:lvl>
    <w:lvl w:ilvl="8">
      <w:start w:val="1"/>
      <w:numFmt w:val="decimal"/>
      <w:lvlText w:val="%1.%2.%3.%4.%5.%6.%7.%8.%9"/>
      <w:lvlJc w:val="left"/>
      <w:pPr>
        <w:ind w:left="1800" w:hanging="1800"/>
      </w:pPr>
      <w:rPr>
        <w:rFonts w:ascii="Calibri" w:hAnsi="Calibri" w:cs="Times New Roman" w:hint="default"/>
        <w:b/>
      </w:rPr>
    </w:lvl>
  </w:abstractNum>
  <w:abstractNum w:abstractNumId="6" w15:restartNumberingAfterBreak="0">
    <w:nsid w:val="4EC75EF3"/>
    <w:multiLevelType w:val="multilevel"/>
    <w:tmpl w:val="A3BE3DF2"/>
    <w:lvl w:ilvl="0">
      <w:start w:val="1"/>
      <w:numFmt w:val="decimal"/>
      <w:lvlText w:val="%1"/>
      <w:lvlJc w:val="left"/>
      <w:pPr>
        <w:ind w:left="408" w:hanging="408"/>
      </w:pPr>
      <w:rPr>
        <w:rFonts w:eastAsia="Times New Roman" w:cs="Arial-BoldMT" w:hint="default"/>
        <w:b/>
      </w:rPr>
    </w:lvl>
    <w:lvl w:ilvl="1">
      <w:start w:val="1"/>
      <w:numFmt w:val="decimal"/>
      <w:lvlText w:val="%1.%2"/>
      <w:lvlJc w:val="left"/>
      <w:pPr>
        <w:ind w:left="408" w:hanging="408"/>
      </w:pPr>
      <w:rPr>
        <w:rFonts w:eastAsia="Times New Roman" w:cs="Arial-BoldMT" w:hint="default"/>
        <w:b/>
      </w:rPr>
    </w:lvl>
    <w:lvl w:ilvl="2">
      <w:start w:val="1"/>
      <w:numFmt w:val="decimal"/>
      <w:lvlText w:val="%1.%2.%3"/>
      <w:lvlJc w:val="left"/>
      <w:pPr>
        <w:ind w:left="720" w:hanging="720"/>
      </w:pPr>
      <w:rPr>
        <w:rFonts w:eastAsia="Times New Roman" w:cs="Arial-BoldMT" w:hint="default"/>
        <w:b/>
      </w:rPr>
    </w:lvl>
    <w:lvl w:ilvl="3">
      <w:start w:val="1"/>
      <w:numFmt w:val="decimal"/>
      <w:lvlText w:val="%1.%2.%3.%4"/>
      <w:lvlJc w:val="left"/>
      <w:pPr>
        <w:ind w:left="720" w:hanging="720"/>
      </w:pPr>
      <w:rPr>
        <w:rFonts w:eastAsia="Times New Roman" w:cs="Arial-BoldMT" w:hint="default"/>
        <w:b/>
      </w:rPr>
    </w:lvl>
    <w:lvl w:ilvl="4">
      <w:start w:val="1"/>
      <w:numFmt w:val="decimal"/>
      <w:lvlText w:val="%1.%2.%3.%4.%5"/>
      <w:lvlJc w:val="left"/>
      <w:pPr>
        <w:ind w:left="1080" w:hanging="1080"/>
      </w:pPr>
      <w:rPr>
        <w:rFonts w:eastAsia="Times New Roman" w:cs="Arial-BoldMT" w:hint="default"/>
        <w:b/>
      </w:rPr>
    </w:lvl>
    <w:lvl w:ilvl="5">
      <w:start w:val="1"/>
      <w:numFmt w:val="decimal"/>
      <w:lvlText w:val="%1.%2.%3.%4.%5.%6"/>
      <w:lvlJc w:val="left"/>
      <w:pPr>
        <w:ind w:left="1080" w:hanging="1080"/>
      </w:pPr>
      <w:rPr>
        <w:rFonts w:eastAsia="Times New Roman" w:cs="Arial-BoldMT" w:hint="default"/>
        <w:b/>
      </w:rPr>
    </w:lvl>
    <w:lvl w:ilvl="6">
      <w:start w:val="1"/>
      <w:numFmt w:val="decimal"/>
      <w:lvlText w:val="%1.%2.%3.%4.%5.%6.%7"/>
      <w:lvlJc w:val="left"/>
      <w:pPr>
        <w:ind w:left="1440" w:hanging="1440"/>
      </w:pPr>
      <w:rPr>
        <w:rFonts w:eastAsia="Times New Roman" w:cs="Arial-BoldMT" w:hint="default"/>
        <w:b/>
      </w:rPr>
    </w:lvl>
    <w:lvl w:ilvl="7">
      <w:start w:val="1"/>
      <w:numFmt w:val="decimal"/>
      <w:lvlText w:val="%1.%2.%3.%4.%5.%6.%7.%8"/>
      <w:lvlJc w:val="left"/>
      <w:pPr>
        <w:ind w:left="1440" w:hanging="1440"/>
      </w:pPr>
      <w:rPr>
        <w:rFonts w:eastAsia="Times New Roman" w:cs="Arial-BoldMT" w:hint="default"/>
        <w:b/>
      </w:rPr>
    </w:lvl>
    <w:lvl w:ilvl="8">
      <w:start w:val="1"/>
      <w:numFmt w:val="decimal"/>
      <w:lvlText w:val="%1.%2.%3.%4.%5.%6.%7.%8.%9"/>
      <w:lvlJc w:val="left"/>
      <w:pPr>
        <w:ind w:left="1800" w:hanging="1800"/>
      </w:pPr>
      <w:rPr>
        <w:rFonts w:eastAsia="Times New Roman" w:cs="Arial-BoldMT" w:hint="default"/>
        <w:b/>
      </w:rPr>
    </w:lvl>
  </w:abstractNum>
  <w:abstractNum w:abstractNumId="7" w15:restartNumberingAfterBreak="0">
    <w:nsid w:val="6E270DBA"/>
    <w:multiLevelType w:val="hybridMultilevel"/>
    <w:tmpl w:val="ABC65DAC"/>
    <w:lvl w:ilvl="0" w:tplc="DC18413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6F266054"/>
    <w:multiLevelType w:val="multilevel"/>
    <w:tmpl w:val="8166A440"/>
    <w:lvl w:ilvl="0">
      <w:start w:val="1"/>
      <w:numFmt w:val="decimal"/>
      <w:lvlText w:val="%1"/>
      <w:lvlJc w:val="left"/>
      <w:pPr>
        <w:ind w:left="360" w:hanging="360"/>
      </w:pPr>
      <w:rPr>
        <w:rFonts w:eastAsia="Times New Roman" w:cs="Arial-BoldMT" w:hint="default"/>
        <w:b/>
      </w:rPr>
    </w:lvl>
    <w:lvl w:ilvl="1">
      <w:start w:val="2"/>
      <w:numFmt w:val="decimal"/>
      <w:lvlText w:val="%1.%2"/>
      <w:lvlJc w:val="left"/>
      <w:pPr>
        <w:ind w:left="768" w:hanging="360"/>
      </w:pPr>
      <w:rPr>
        <w:rFonts w:eastAsia="Times New Roman" w:cs="Arial-BoldMT" w:hint="default"/>
        <w:b/>
      </w:rPr>
    </w:lvl>
    <w:lvl w:ilvl="2">
      <w:start w:val="1"/>
      <w:numFmt w:val="decimal"/>
      <w:lvlText w:val="%1.%2.%3"/>
      <w:lvlJc w:val="left"/>
      <w:pPr>
        <w:ind w:left="1536" w:hanging="720"/>
      </w:pPr>
      <w:rPr>
        <w:rFonts w:eastAsia="Times New Roman" w:cs="Arial-BoldMT" w:hint="default"/>
        <w:b/>
      </w:rPr>
    </w:lvl>
    <w:lvl w:ilvl="3">
      <w:start w:val="1"/>
      <w:numFmt w:val="decimal"/>
      <w:lvlText w:val="%1.%2.%3.%4"/>
      <w:lvlJc w:val="left"/>
      <w:pPr>
        <w:ind w:left="1944" w:hanging="720"/>
      </w:pPr>
      <w:rPr>
        <w:rFonts w:eastAsia="Times New Roman" w:cs="Arial-BoldMT" w:hint="default"/>
        <w:b/>
      </w:rPr>
    </w:lvl>
    <w:lvl w:ilvl="4">
      <w:start w:val="1"/>
      <w:numFmt w:val="decimal"/>
      <w:lvlText w:val="%1.%2.%3.%4.%5"/>
      <w:lvlJc w:val="left"/>
      <w:pPr>
        <w:ind w:left="2712" w:hanging="1080"/>
      </w:pPr>
      <w:rPr>
        <w:rFonts w:eastAsia="Times New Roman" w:cs="Arial-BoldMT" w:hint="default"/>
        <w:b/>
      </w:rPr>
    </w:lvl>
    <w:lvl w:ilvl="5">
      <w:start w:val="1"/>
      <w:numFmt w:val="decimal"/>
      <w:lvlText w:val="%1.%2.%3.%4.%5.%6"/>
      <w:lvlJc w:val="left"/>
      <w:pPr>
        <w:ind w:left="3120" w:hanging="1080"/>
      </w:pPr>
      <w:rPr>
        <w:rFonts w:eastAsia="Times New Roman" w:cs="Arial-BoldMT" w:hint="default"/>
        <w:b/>
      </w:rPr>
    </w:lvl>
    <w:lvl w:ilvl="6">
      <w:start w:val="1"/>
      <w:numFmt w:val="decimal"/>
      <w:lvlText w:val="%1.%2.%3.%4.%5.%6.%7"/>
      <w:lvlJc w:val="left"/>
      <w:pPr>
        <w:ind w:left="3888" w:hanging="1440"/>
      </w:pPr>
      <w:rPr>
        <w:rFonts w:eastAsia="Times New Roman" w:cs="Arial-BoldMT" w:hint="default"/>
        <w:b/>
      </w:rPr>
    </w:lvl>
    <w:lvl w:ilvl="7">
      <w:start w:val="1"/>
      <w:numFmt w:val="decimal"/>
      <w:lvlText w:val="%1.%2.%3.%4.%5.%6.%7.%8"/>
      <w:lvlJc w:val="left"/>
      <w:pPr>
        <w:ind w:left="4296" w:hanging="1440"/>
      </w:pPr>
      <w:rPr>
        <w:rFonts w:eastAsia="Times New Roman" w:cs="Arial-BoldMT" w:hint="default"/>
        <w:b/>
      </w:rPr>
    </w:lvl>
    <w:lvl w:ilvl="8">
      <w:start w:val="1"/>
      <w:numFmt w:val="decimal"/>
      <w:lvlText w:val="%1.%2.%3.%4.%5.%6.%7.%8.%9"/>
      <w:lvlJc w:val="left"/>
      <w:pPr>
        <w:ind w:left="5064" w:hanging="1800"/>
      </w:pPr>
      <w:rPr>
        <w:rFonts w:eastAsia="Times New Roman" w:cs="Arial-BoldMT" w:hint="default"/>
        <w:b/>
      </w:rPr>
    </w:lvl>
  </w:abstractNum>
  <w:abstractNum w:abstractNumId="9" w15:restartNumberingAfterBreak="0">
    <w:nsid w:val="766B4B1E"/>
    <w:multiLevelType w:val="multilevel"/>
    <w:tmpl w:val="09042424"/>
    <w:lvl w:ilvl="0">
      <w:start w:val="4"/>
      <w:numFmt w:val="decimal"/>
      <w:lvlText w:val="%1"/>
      <w:lvlJc w:val="left"/>
      <w:pPr>
        <w:ind w:left="360" w:hanging="360"/>
      </w:pPr>
      <w:rPr>
        <w:rFonts w:eastAsia="Times New Roman" w:cs="Arial-BoldMT" w:hint="default"/>
        <w:b/>
      </w:rPr>
    </w:lvl>
    <w:lvl w:ilvl="1">
      <w:start w:val="4"/>
      <w:numFmt w:val="decimal"/>
      <w:lvlText w:val="%1.%2"/>
      <w:lvlJc w:val="left"/>
      <w:pPr>
        <w:ind w:left="360" w:hanging="360"/>
      </w:pPr>
      <w:rPr>
        <w:rFonts w:eastAsia="Times New Roman" w:cs="Arial-BoldMT" w:hint="default"/>
        <w:b/>
      </w:rPr>
    </w:lvl>
    <w:lvl w:ilvl="2">
      <w:start w:val="1"/>
      <w:numFmt w:val="decimal"/>
      <w:lvlText w:val="%1.%2.%3"/>
      <w:lvlJc w:val="left"/>
      <w:pPr>
        <w:ind w:left="720" w:hanging="720"/>
      </w:pPr>
      <w:rPr>
        <w:rFonts w:eastAsia="Times New Roman" w:cs="Arial-BoldMT" w:hint="default"/>
        <w:b/>
      </w:rPr>
    </w:lvl>
    <w:lvl w:ilvl="3">
      <w:start w:val="1"/>
      <w:numFmt w:val="decimal"/>
      <w:lvlText w:val="%1.%2.%3.%4"/>
      <w:lvlJc w:val="left"/>
      <w:pPr>
        <w:ind w:left="720" w:hanging="720"/>
      </w:pPr>
      <w:rPr>
        <w:rFonts w:eastAsia="Times New Roman" w:cs="Arial-BoldMT" w:hint="default"/>
        <w:b/>
      </w:rPr>
    </w:lvl>
    <w:lvl w:ilvl="4">
      <w:start w:val="1"/>
      <w:numFmt w:val="decimal"/>
      <w:lvlText w:val="%1.%2.%3.%4.%5"/>
      <w:lvlJc w:val="left"/>
      <w:pPr>
        <w:ind w:left="1080" w:hanging="1080"/>
      </w:pPr>
      <w:rPr>
        <w:rFonts w:eastAsia="Times New Roman" w:cs="Arial-BoldMT" w:hint="default"/>
        <w:b/>
      </w:rPr>
    </w:lvl>
    <w:lvl w:ilvl="5">
      <w:start w:val="1"/>
      <w:numFmt w:val="decimal"/>
      <w:lvlText w:val="%1.%2.%3.%4.%5.%6"/>
      <w:lvlJc w:val="left"/>
      <w:pPr>
        <w:ind w:left="1080" w:hanging="1080"/>
      </w:pPr>
      <w:rPr>
        <w:rFonts w:eastAsia="Times New Roman" w:cs="Arial-BoldMT" w:hint="default"/>
        <w:b/>
      </w:rPr>
    </w:lvl>
    <w:lvl w:ilvl="6">
      <w:start w:val="1"/>
      <w:numFmt w:val="decimal"/>
      <w:lvlText w:val="%1.%2.%3.%4.%5.%6.%7"/>
      <w:lvlJc w:val="left"/>
      <w:pPr>
        <w:ind w:left="1440" w:hanging="1440"/>
      </w:pPr>
      <w:rPr>
        <w:rFonts w:eastAsia="Times New Roman" w:cs="Arial-BoldMT" w:hint="default"/>
        <w:b/>
      </w:rPr>
    </w:lvl>
    <w:lvl w:ilvl="7">
      <w:start w:val="1"/>
      <w:numFmt w:val="decimal"/>
      <w:lvlText w:val="%1.%2.%3.%4.%5.%6.%7.%8"/>
      <w:lvlJc w:val="left"/>
      <w:pPr>
        <w:ind w:left="1440" w:hanging="1440"/>
      </w:pPr>
      <w:rPr>
        <w:rFonts w:eastAsia="Times New Roman" w:cs="Arial-BoldMT" w:hint="default"/>
        <w:b/>
      </w:rPr>
    </w:lvl>
    <w:lvl w:ilvl="8">
      <w:start w:val="1"/>
      <w:numFmt w:val="decimal"/>
      <w:lvlText w:val="%1.%2.%3.%4.%5.%6.%7.%8.%9"/>
      <w:lvlJc w:val="left"/>
      <w:pPr>
        <w:ind w:left="1800" w:hanging="1800"/>
      </w:pPr>
      <w:rPr>
        <w:rFonts w:eastAsia="Times New Roman" w:cs="Arial-BoldMT" w:hint="default"/>
        <w:b/>
      </w:rPr>
    </w:lvl>
  </w:abstractNum>
  <w:abstractNum w:abstractNumId="10" w15:restartNumberingAfterBreak="0">
    <w:nsid w:val="796450D8"/>
    <w:multiLevelType w:val="multilevel"/>
    <w:tmpl w:val="65C0EEA8"/>
    <w:lvl w:ilvl="0">
      <w:start w:val="1"/>
      <w:numFmt w:val="decimal"/>
      <w:lvlText w:val="%1"/>
      <w:lvlJc w:val="left"/>
      <w:pPr>
        <w:ind w:left="360" w:hanging="360"/>
      </w:pPr>
      <w:rPr>
        <w:rFonts w:eastAsia="Times New Roman" w:cs="Arial-BoldMT" w:hint="default"/>
        <w:b/>
      </w:rPr>
    </w:lvl>
    <w:lvl w:ilvl="1">
      <w:start w:val="2"/>
      <w:numFmt w:val="decimal"/>
      <w:lvlText w:val="%1.%2"/>
      <w:lvlJc w:val="left"/>
      <w:pPr>
        <w:ind w:left="768" w:hanging="360"/>
      </w:pPr>
      <w:rPr>
        <w:rFonts w:eastAsia="Times New Roman" w:cs="Arial-BoldMT" w:hint="default"/>
        <w:b/>
      </w:rPr>
    </w:lvl>
    <w:lvl w:ilvl="2">
      <w:start w:val="1"/>
      <w:numFmt w:val="decimal"/>
      <w:lvlText w:val="%1.%2.%3"/>
      <w:lvlJc w:val="left"/>
      <w:pPr>
        <w:ind w:left="1536" w:hanging="720"/>
      </w:pPr>
      <w:rPr>
        <w:rFonts w:eastAsia="Times New Roman" w:cs="Arial-BoldMT" w:hint="default"/>
        <w:b/>
      </w:rPr>
    </w:lvl>
    <w:lvl w:ilvl="3">
      <w:start w:val="1"/>
      <w:numFmt w:val="decimal"/>
      <w:lvlText w:val="%1.%2.%3.%4"/>
      <w:lvlJc w:val="left"/>
      <w:pPr>
        <w:ind w:left="1944" w:hanging="720"/>
      </w:pPr>
      <w:rPr>
        <w:rFonts w:eastAsia="Times New Roman" w:cs="Arial-BoldMT" w:hint="default"/>
        <w:b/>
      </w:rPr>
    </w:lvl>
    <w:lvl w:ilvl="4">
      <w:start w:val="1"/>
      <w:numFmt w:val="decimal"/>
      <w:lvlText w:val="%1.%2.%3.%4.%5"/>
      <w:lvlJc w:val="left"/>
      <w:pPr>
        <w:ind w:left="2712" w:hanging="1080"/>
      </w:pPr>
      <w:rPr>
        <w:rFonts w:eastAsia="Times New Roman" w:cs="Arial-BoldMT" w:hint="default"/>
        <w:b/>
      </w:rPr>
    </w:lvl>
    <w:lvl w:ilvl="5">
      <w:start w:val="1"/>
      <w:numFmt w:val="decimal"/>
      <w:lvlText w:val="%1.%2.%3.%4.%5.%6"/>
      <w:lvlJc w:val="left"/>
      <w:pPr>
        <w:ind w:left="3120" w:hanging="1080"/>
      </w:pPr>
      <w:rPr>
        <w:rFonts w:eastAsia="Times New Roman" w:cs="Arial-BoldMT" w:hint="default"/>
        <w:b/>
      </w:rPr>
    </w:lvl>
    <w:lvl w:ilvl="6">
      <w:start w:val="1"/>
      <w:numFmt w:val="decimal"/>
      <w:lvlText w:val="%1.%2.%3.%4.%5.%6.%7"/>
      <w:lvlJc w:val="left"/>
      <w:pPr>
        <w:ind w:left="3888" w:hanging="1440"/>
      </w:pPr>
      <w:rPr>
        <w:rFonts w:eastAsia="Times New Roman" w:cs="Arial-BoldMT" w:hint="default"/>
        <w:b/>
      </w:rPr>
    </w:lvl>
    <w:lvl w:ilvl="7">
      <w:start w:val="1"/>
      <w:numFmt w:val="decimal"/>
      <w:lvlText w:val="%1.%2.%3.%4.%5.%6.%7.%8"/>
      <w:lvlJc w:val="left"/>
      <w:pPr>
        <w:ind w:left="4296" w:hanging="1440"/>
      </w:pPr>
      <w:rPr>
        <w:rFonts w:eastAsia="Times New Roman" w:cs="Arial-BoldMT" w:hint="default"/>
        <w:b/>
      </w:rPr>
    </w:lvl>
    <w:lvl w:ilvl="8">
      <w:start w:val="1"/>
      <w:numFmt w:val="decimal"/>
      <w:lvlText w:val="%1.%2.%3.%4.%5.%6.%7.%8.%9"/>
      <w:lvlJc w:val="left"/>
      <w:pPr>
        <w:ind w:left="5064" w:hanging="1800"/>
      </w:pPr>
      <w:rPr>
        <w:rFonts w:eastAsia="Times New Roman" w:cs="Arial-BoldMT" w:hint="default"/>
        <w:b/>
      </w:rPr>
    </w:lvl>
  </w:abstractNum>
  <w:abstractNum w:abstractNumId="11" w15:restartNumberingAfterBreak="0">
    <w:nsid w:val="7DA27ED5"/>
    <w:multiLevelType w:val="hybridMultilevel"/>
    <w:tmpl w:val="EB8033B6"/>
    <w:lvl w:ilvl="0" w:tplc="451CA7A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1"/>
  </w:num>
  <w:num w:numId="4">
    <w:abstractNumId w:val="0"/>
  </w:num>
  <w:num w:numId="5">
    <w:abstractNumId w:val="6"/>
  </w:num>
  <w:num w:numId="6">
    <w:abstractNumId w:val="10"/>
  </w:num>
  <w:num w:numId="7">
    <w:abstractNumId w:val="8"/>
  </w:num>
  <w:num w:numId="8">
    <w:abstractNumId w:val="5"/>
  </w:num>
  <w:num w:numId="9">
    <w:abstractNumId w:val="9"/>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92"/>
    <w:rsid w:val="00000C96"/>
    <w:rsid w:val="00001CFA"/>
    <w:rsid w:val="00003429"/>
    <w:rsid w:val="00003722"/>
    <w:rsid w:val="00004C6C"/>
    <w:rsid w:val="000054D7"/>
    <w:rsid w:val="00006117"/>
    <w:rsid w:val="000072B9"/>
    <w:rsid w:val="00007752"/>
    <w:rsid w:val="00015190"/>
    <w:rsid w:val="000152AD"/>
    <w:rsid w:val="00015C74"/>
    <w:rsid w:val="00016230"/>
    <w:rsid w:val="00020072"/>
    <w:rsid w:val="00023F21"/>
    <w:rsid w:val="00031115"/>
    <w:rsid w:val="00032303"/>
    <w:rsid w:val="000334D9"/>
    <w:rsid w:val="000338E0"/>
    <w:rsid w:val="00033DEC"/>
    <w:rsid w:val="00035685"/>
    <w:rsid w:val="000368EF"/>
    <w:rsid w:val="00036C27"/>
    <w:rsid w:val="00040E25"/>
    <w:rsid w:val="00044FB5"/>
    <w:rsid w:val="00047738"/>
    <w:rsid w:val="00047AD1"/>
    <w:rsid w:val="0005341C"/>
    <w:rsid w:val="00054CB9"/>
    <w:rsid w:val="00057DFF"/>
    <w:rsid w:val="000610CD"/>
    <w:rsid w:val="00062F93"/>
    <w:rsid w:val="000655CF"/>
    <w:rsid w:val="000709C5"/>
    <w:rsid w:val="0007151A"/>
    <w:rsid w:val="000723F5"/>
    <w:rsid w:val="00073BB3"/>
    <w:rsid w:val="000745F8"/>
    <w:rsid w:val="0007516E"/>
    <w:rsid w:val="00077D3F"/>
    <w:rsid w:val="00083409"/>
    <w:rsid w:val="00084ADA"/>
    <w:rsid w:val="000867AD"/>
    <w:rsid w:val="00087C9A"/>
    <w:rsid w:val="00091131"/>
    <w:rsid w:val="000917CF"/>
    <w:rsid w:val="00093C4E"/>
    <w:rsid w:val="000942B6"/>
    <w:rsid w:val="00094AF6"/>
    <w:rsid w:val="00095950"/>
    <w:rsid w:val="000A07CE"/>
    <w:rsid w:val="000A0E4B"/>
    <w:rsid w:val="000B1887"/>
    <w:rsid w:val="000B1BA8"/>
    <w:rsid w:val="000B20CA"/>
    <w:rsid w:val="000B2D95"/>
    <w:rsid w:val="000B3669"/>
    <w:rsid w:val="000B6096"/>
    <w:rsid w:val="000B648A"/>
    <w:rsid w:val="000B7CA5"/>
    <w:rsid w:val="000C0466"/>
    <w:rsid w:val="000C1286"/>
    <w:rsid w:val="000C2D7D"/>
    <w:rsid w:val="000C3D8E"/>
    <w:rsid w:val="000C511B"/>
    <w:rsid w:val="000C76F6"/>
    <w:rsid w:val="000C7CA0"/>
    <w:rsid w:val="000C7F85"/>
    <w:rsid w:val="000D04AE"/>
    <w:rsid w:val="000D0D47"/>
    <w:rsid w:val="000D10B5"/>
    <w:rsid w:val="000D370C"/>
    <w:rsid w:val="000D430B"/>
    <w:rsid w:val="000D55B2"/>
    <w:rsid w:val="000D593E"/>
    <w:rsid w:val="000D6B74"/>
    <w:rsid w:val="000E25FC"/>
    <w:rsid w:val="000E2CC7"/>
    <w:rsid w:val="000E65C1"/>
    <w:rsid w:val="000E72BA"/>
    <w:rsid w:val="000E77AE"/>
    <w:rsid w:val="000F4D34"/>
    <w:rsid w:val="000F4FD7"/>
    <w:rsid w:val="000F6711"/>
    <w:rsid w:val="000F6749"/>
    <w:rsid w:val="000F72EA"/>
    <w:rsid w:val="000F7E79"/>
    <w:rsid w:val="001017C1"/>
    <w:rsid w:val="0010189B"/>
    <w:rsid w:val="001030E0"/>
    <w:rsid w:val="001031D5"/>
    <w:rsid w:val="0010466F"/>
    <w:rsid w:val="001048B6"/>
    <w:rsid w:val="00105297"/>
    <w:rsid w:val="00106B61"/>
    <w:rsid w:val="00110502"/>
    <w:rsid w:val="00111A28"/>
    <w:rsid w:val="0011230D"/>
    <w:rsid w:val="00112800"/>
    <w:rsid w:val="00113141"/>
    <w:rsid w:val="00114112"/>
    <w:rsid w:val="0011683A"/>
    <w:rsid w:val="00117C0A"/>
    <w:rsid w:val="00121390"/>
    <w:rsid w:val="00121ABC"/>
    <w:rsid w:val="001230C9"/>
    <w:rsid w:val="0012778D"/>
    <w:rsid w:val="00130E01"/>
    <w:rsid w:val="00132908"/>
    <w:rsid w:val="001400E3"/>
    <w:rsid w:val="00140364"/>
    <w:rsid w:val="00140D4D"/>
    <w:rsid w:val="00140E12"/>
    <w:rsid w:val="001450C0"/>
    <w:rsid w:val="00150A26"/>
    <w:rsid w:val="001546EE"/>
    <w:rsid w:val="00156085"/>
    <w:rsid w:val="00157891"/>
    <w:rsid w:val="001631CB"/>
    <w:rsid w:val="00165549"/>
    <w:rsid w:val="00167697"/>
    <w:rsid w:val="00170B6A"/>
    <w:rsid w:val="0017178C"/>
    <w:rsid w:val="00172676"/>
    <w:rsid w:val="00173376"/>
    <w:rsid w:val="00175A05"/>
    <w:rsid w:val="001762F3"/>
    <w:rsid w:val="0017640D"/>
    <w:rsid w:val="00177ABE"/>
    <w:rsid w:val="00180497"/>
    <w:rsid w:val="0018085C"/>
    <w:rsid w:val="00181F4C"/>
    <w:rsid w:val="00182104"/>
    <w:rsid w:val="001829DB"/>
    <w:rsid w:val="00191556"/>
    <w:rsid w:val="00191CAC"/>
    <w:rsid w:val="00192CD7"/>
    <w:rsid w:val="00194BE0"/>
    <w:rsid w:val="00196020"/>
    <w:rsid w:val="00196ED4"/>
    <w:rsid w:val="00197324"/>
    <w:rsid w:val="001A15F7"/>
    <w:rsid w:val="001A429A"/>
    <w:rsid w:val="001A4435"/>
    <w:rsid w:val="001A4BC8"/>
    <w:rsid w:val="001A6447"/>
    <w:rsid w:val="001A71DB"/>
    <w:rsid w:val="001B0F5F"/>
    <w:rsid w:val="001B22A5"/>
    <w:rsid w:val="001B2A45"/>
    <w:rsid w:val="001B4A3F"/>
    <w:rsid w:val="001B56A2"/>
    <w:rsid w:val="001B6992"/>
    <w:rsid w:val="001B7B89"/>
    <w:rsid w:val="001C0988"/>
    <w:rsid w:val="001C16C0"/>
    <w:rsid w:val="001C281C"/>
    <w:rsid w:val="001C2ABF"/>
    <w:rsid w:val="001C2C89"/>
    <w:rsid w:val="001C4918"/>
    <w:rsid w:val="001C4B4E"/>
    <w:rsid w:val="001C5863"/>
    <w:rsid w:val="001C683E"/>
    <w:rsid w:val="001E05FD"/>
    <w:rsid w:val="001E0FA6"/>
    <w:rsid w:val="001E2019"/>
    <w:rsid w:val="001E2E90"/>
    <w:rsid w:val="001E7F16"/>
    <w:rsid w:val="001F0131"/>
    <w:rsid w:val="001F3342"/>
    <w:rsid w:val="001F4041"/>
    <w:rsid w:val="001F45B0"/>
    <w:rsid w:val="001F596E"/>
    <w:rsid w:val="002002E7"/>
    <w:rsid w:val="002016BF"/>
    <w:rsid w:val="00203FBD"/>
    <w:rsid w:val="002050EF"/>
    <w:rsid w:val="00211B28"/>
    <w:rsid w:val="0021268D"/>
    <w:rsid w:val="00213798"/>
    <w:rsid w:val="00214150"/>
    <w:rsid w:val="00214204"/>
    <w:rsid w:val="0021680E"/>
    <w:rsid w:val="00216EA6"/>
    <w:rsid w:val="00222046"/>
    <w:rsid w:val="002263A1"/>
    <w:rsid w:val="00230C2E"/>
    <w:rsid w:val="00230CC1"/>
    <w:rsid w:val="00231D49"/>
    <w:rsid w:val="002326EF"/>
    <w:rsid w:val="00233020"/>
    <w:rsid w:val="00234C13"/>
    <w:rsid w:val="002366F2"/>
    <w:rsid w:val="00240D56"/>
    <w:rsid w:val="00241D61"/>
    <w:rsid w:val="00245FAF"/>
    <w:rsid w:val="002472D6"/>
    <w:rsid w:val="002475F4"/>
    <w:rsid w:val="00251A82"/>
    <w:rsid w:val="002520BD"/>
    <w:rsid w:val="00253598"/>
    <w:rsid w:val="00256DC8"/>
    <w:rsid w:val="0026019E"/>
    <w:rsid w:val="002634F9"/>
    <w:rsid w:val="00264002"/>
    <w:rsid w:val="002662EA"/>
    <w:rsid w:val="0026667E"/>
    <w:rsid w:val="00266DF7"/>
    <w:rsid w:val="00270286"/>
    <w:rsid w:val="00270B9B"/>
    <w:rsid w:val="00270C4B"/>
    <w:rsid w:val="00271181"/>
    <w:rsid w:val="00275DE1"/>
    <w:rsid w:val="002802C0"/>
    <w:rsid w:val="0028155F"/>
    <w:rsid w:val="002828F3"/>
    <w:rsid w:val="002837B0"/>
    <w:rsid w:val="002838B3"/>
    <w:rsid w:val="002845D6"/>
    <w:rsid w:val="00284DE2"/>
    <w:rsid w:val="00287A75"/>
    <w:rsid w:val="00291A82"/>
    <w:rsid w:val="00292EDC"/>
    <w:rsid w:val="002965D8"/>
    <w:rsid w:val="00297277"/>
    <w:rsid w:val="002A0652"/>
    <w:rsid w:val="002A11A5"/>
    <w:rsid w:val="002A1373"/>
    <w:rsid w:val="002A1FF7"/>
    <w:rsid w:val="002A738A"/>
    <w:rsid w:val="002B27DB"/>
    <w:rsid w:val="002B4373"/>
    <w:rsid w:val="002B4F88"/>
    <w:rsid w:val="002B6A5A"/>
    <w:rsid w:val="002B6DE3"/>
    <w:rsid w:val="002B7CDB"/>
    <w:rsid w:val="002C0B8F"/>
    <w:rsid w:val="002C13CF"/>
    <w:rsid w:val="002C2B17"/>
    <w:rsid w:val="002C55DB"/>
    <w:rsid w:val="002C7DF5"/>
    <w:rsid w:val="002D314A"/>
    <w:rsid w:val="002D48C9"/>
    <w:rsid w:val="002D73D4"/>
    <w:rsid w:val="002D7656"/>
    <w:rsid w:val="002E1A6B"/>
    <w:rsid w:val="002E1B01"/>
    <w:rsid w:val="002E407A"/>
    <w:rsid w:val="002E43FC"/>
    <w:rsid w:val="002E571C"/>
    <w:rsid w:val="002E5A56"/>
    <w:rsid w:val="002E7247"/>
    <w:rsid w:val="002F1D6E"/>
    <w:rsid w:val="002F23C0"/>
    <w:rsid w:val="002F28CC"/>
    <w:rsid w:val="002F4FC8"/>
    <w:rsid w:val="002F7588"/>
    <w:rsid w:val="003005F9"/>
    <w:rsid w:val="003031FE"/>
    <w:rsid w:val="00304ECD"/>
    <w:rsid w:val="003061AB"/>
    <w:rsid w:val="003075C8"/>
    <w:rsid w:val="003138A2"/>
    <w:rsid w:val="0031487C"/>
    <w:rsid w:val="00314EBE"/>
    <w:rsid w:val="003171EA"/>
    <w:rsid w:val="003172A6"/>
    <w:rsid w:val="00320887"/>
    <w:rsid w:val="003209F5"/>
    <w:rsid w:val="0032344B"/>
    <w:rsid w:val="00325ECC"/>
    <w:rsid w:val="0032653A"/>
    <w:rsid w:val="00327019"/>
    <w:rsid w:val="00331964"/>
    <w:rsid w:val="003319C1"/>
    <w:rsid w:val="0033213E"/>
    <w:rsid w:val="0033280A"/>
    <w:rsid w:val="0033387E"/>
    <w:rsid w:val="00334AA6"/>
    <w:rsid w:val="00335854"/>
    <w:rsid w:val="00337AB5"/>
    <w:rsid w:val="00340BC3"/>
    <w:rsid w:val="00343EDE"/>
    <w:rsid w:val="00345A97"/>
    <w:rsid w:val="00347597"/>
    <w:rsid w:val="00347658"/>
    <w:rsid w:val="00351574"/>
    <w:rsid w:val="00351F87"/>
    <w:rsid w:val="00354C96"/>
    <w:rsid w:val="003558A9"/>
    <w:rsid w:val="003567AF"/>
    <w:rsid w:val="0035761A"/>
    <w:rsid w:val="0036059F"/>
    <w:rsid w:val="003626F1"/>
    <w:rsid w:val="0036278E"/>
    <w:rsid w:val="00362F17"/>
    <w:rsid w:val="0036442F"/>
    <w:rsid w:val="003646F4"/>
    <w:rsid w:val="00371588"/>
    <w:rsid w:val="00371E23"/>
    <w:rsid w:val="003727AD"/>
    <w:rsid w:val="00377EF0"/>
    <w:rsid w:val="0038005B"/>
    <w:rsid w:val="00381856"/>
    <w:rsid w:val="00383E63"/>
    <w:rsid w:val="0038505B"/>
    <w:rsid w:val="00385A33"/>
    <w:rsid w:val="0038630C"/>
    <w:rsid w:val="00386F5C"/>
    <w:rsid w:val="003923C1"/>
    <w:rsid w:val="003946FE"/>
    <w:rsid w:val="003950F6"/>
    <w:rsid w:val="00396FFB"/>
    <w:rsid w:val="00397CA7"/>
    <w:rsid w:val="003A0231"/>
    <w:rsid w:val="003A1468"/>
    <w:rsid w:val="003A3D6B"/>
    <w:rsid w:val="003A4B4D"/>
    <w:rsid w:val="003A5D29"/>
    <w:rsid w:val="003A684D"/>
    <w:rsid w:val="003A767A"/>
    <w:rsid w:val="003B0C74"/>
    <w:rsid w:val="003B2AA3"/>
    <w:rsid w:val="003B3473"/>
    <w:rsid w:val="003B4829"/>
    <w:rsid w:val="003B76AA"/>
    <w:rsid w:val="003C0874"/>
    <w:rsid w:val="003C1EDF"/>
    <w:rsid w:val="003C3DCB"/>
    <w:rsid w:val="003C44C5"/>
    <w:rsid w:val="003C50A4"/>
    <w:rsid w:val="003C63B3"/>
    <w:rsid w:val="003C663F"/>
    <w:rsid w:val="003C6D65"/>
    <w:rsid w:val="003C6EC5"/>
    <w:rsid w:val="003D1492"/>
    <w:rsid w:val="003D27ED"/>
    <w:rsid w:val="003D6608"/>
    <w:rsid w:val="003D7FE6"/>
    <w:rsid w:val="003E03F9"/>
    <w:rsid w:val="003E053B"/>
    <w:rsid w:val="003E2956"/>
    <w:rsid w:val="003E414F"/>
    <w:rsid w:val="003E5AC6"/>
    <w:rsid w:val="003E5F3C"/>
    <w:rsid w:val="003E6D1E"/>
    <w:rsid w:val="003F2BCA"/>
    <w:rsid w:val="003F52C4"/>
    <w:rsid w:val="003F5332"/>
    <w:rsid w:val="003F579A"/>
    <w:rsid w:val="003F6E97"/>
    <w:rsid w:val="003F73A9"/>
    <w:rsid w:val="003F7972"/>
    <w:rsid w:val="0040278C"/>
    <w:rsid w:val="00403A40"/>
    <w:rsid w:val="00403C49"/>
    <w:rsid w:val="004102C9"/>
    <w:rsid w:val="004121AB"/>
    <w:rsid w:val="00413C54"/>
    <w:rsid w:val="00413EE6"/>
    <w:rsid w:val="0041414E"/>
    <w:rsid w:val="00415359"/>
    <w:rsid w:val="004162CE"/>
    <w:rsid w:val="00420ACB"/>
    <w:rsid w:val="00422FA3"/>
    <w:rsid w:val="0042491D"/>
    <w:rsid w:val="0042538B"/>
    <w:rsid w:val="00430477"/>
    <w:rsid w:val="004305B6"/>
    <w:rsid w:val="00430E93"/>
    <w:rsid w:val="00431D1D"/>
    <w:rsid w:val="0043276A"/>
    <w:rsid w:val="0043633A"/>
    <w:rsid w:val="00437AE3"/>
    <w:rsid w:val="0044431D"/>
    <w:rsid w:val="00445C30"/>
    <w:rsid w:val="004479A2"/>
    <w:rsid w:val="00450AAE"/>
    <w:rsid w:val="00451966"/>
    <w:rsid w:val="00451E74"/>
    <w:rsid w:val="00451EE8"/>
    <w:rsid w:val="0045251F"/>
    <w:rsid w:val="0045330D"/>
    <w:rsid w:val="004540FE"/>
    <w:rsid w:val="004542EB"/>
    <w:rsid w:val="00460044"/>
    <w:rsid w:val="0046096D"/>
    <w:rsid w:val="00460FB4"/>
    <w:rsid w:val="0046118B"/>
    <w:rsid w:val="00463E5A"/>
    <w:rsid w:val="004732CC"/>
    <w:rsid w:val="00474576"/>
    <w:rsid w:val="0047484D"/>
    <w:rsid w:val="0047526A"/>
    <w:rsid w:val="00476AC7"/>
    <w:rsid w:val="00482C78"/>
    <w:rsid w:val="00484F6B"/>
    <w:rsid w:val="00486137"/>
    <w:rsid w:val="00486343"/>
    <w:rsid w:val="004878E2"/>
    <w:rsid w:val="00490570"/>
    <w:rsid w:val="004911C7"/>
    <w:rsid w:val="00493E37"/>
    <w:rsid w:val="004951C4"/>
    <w:rsid w:val="004A219B"/>
    <w:rsid w:val="004A2250"/>
    <w:rsid w:val="004A4AC4"/>
    <w:rsid w:val="004A55ED"/>
    <w:rsid w:val="004A79C2"/>
    <w:rsid w:val="004B060C"/>
    <w:rsid w:val="004B150A"/>
    <w:rsid w:val="004B3EE3"/>
    <w:rsid w:val="004B417E"/>
    <w:rsid w:val="004B58AE"/>
    <w:rsid w:val="004B6756"/>
    <w:rsid w:val="004B6E46"/>
    <w:rsid w:val="004C199A"/>
    <w:rsid w:val="004C2516"/>
    <w:rsid w:val="004C6508"/>
    <w:rsid w:val="004C70B2"/>
    <w:rsid w:val="004C7CA7"/>
    <w:rsid w:val="004D2CE3"/>
    <w:rsid w:val="004D3973"/>
    <w:rsid w:val="004D5477"/>
    <w:rsid w:val="004D6702"/>
    <w:rsid w:val="004D6C7A"/>
    <w:rsid w:val="004D7D08"/>
    <w:rsid w:val="004E0B4A"/>
    <w:rsid w:val="004E1A55"/>
    <w:rsid w:val="004E2093"/>
    <w:rsid w:val="004E2DB0"/>
    <w:rsid w:val="004E3456"/>
    <w:rsid w:val="004E3802"/>
    <w:rsid w:val="004E5087"/>
    <w:rsid w:val="004E6D51"/>
    <w:rsid w:val="004F208D"/>
    <w:rsid w:val="004F2120"/>
    <w:rsid w:val="004F265A"/>
    <w:rsid w:val="004F6879"/>
    <w:rsid w:val="004F75B8"/>
    <w:rsid w:val="005012DF"/>
    <w:rsid w:val="005041E8"/>
    <w:rsid w:val="005050D0"/>
    <w:rsid w:val="00505344"/>
    <w:rsid w:val="0050677A"/>
    <w:rsid w:val="00511514"/>
    <w:rsid w:val="0051290D"/>
    <w:rsid w:val="00513506"/>
    <w:rsid w:val="00516615"/>
    <w:rsid w:val="005206AD"/>
    <w:rsid w:val="00520D54"/>
    <w:rsid w:val="00521424"/>
    <w:rsid w:val="00522E13"/>
    <w:rsid w:val="00523400"/>
    <w:rsid w:val="00524987"/>
    <w:rsid w:val="00524BF1"/>
    <w:rsid w:val="00533F73"/>
    <w:rsid w:val="0053428E"/>
    <w:rsid w:val="005414D3"/>
    <w:rsid w:val="00542984"/>
    <w:rsid w:val="00543AB5"/>
    <w:rsid w:val="00543C72"/>
    <w:rsid w:val="005462DC"/>
    <w:rsid w:val="00551494"/>
    <w:rsid w:val="00552EA7"/>
    <w:rsid w:val="005534CC"/>
    <w:rsid w:val="005542FC"/>
    <w:rsid w:val="00557CEF"/>
    <w:rsid w:val="005700F7"/>
    <w:rsid w:val="00577FBD"/>
    <w:rsid w:val="00577FED"/>
    <w:rsid w:val="00582629"/>
    <w:rsid w:val="00585780"/>
    <w:rsid w:val="00585B36"/>
    <w:rsid w:val="00587032"/>
    <w:rsid w:val="00587CE5"/>
    <w:rsid w:val="00590E00"/>
    <w:rsid w:val="005934B2"/>
    <w:rsid w:val="00596AAE"/>
    <w:rsid w:val="00596C51"/>
    <w:rsid w:val="005A0242"/>
    <w:rsid w:val="005A51A0"/>
    <w:rsid w:val="005A701D"/>
    <w:rsid w:val="005B3B00"/>
    <w:rsid w:val="005C00E1"/>
    <w:rsid w:val="005C075A"/>
    <w:rsid w:val="005C0772"/>
    <w:rsid w:val="005C1E78"/>
    <w:rsid w:val="005C37F4"/>
    <w:rsid w:val="005C49B1"/>
    <w:rsid w:val="005C57D9"/>
    <w:rsid w:val="005D22BC"/>
    <w:rsid w:val="005D45D7"/>
    <w:rsid w:val="005E532B"/>
    <w:rsid w:val="005E588E"/>
    <w:rsid w:val="005E5EF4"/>
    <w:rsid w:val="005E755E"/>
    <w:rsid w:val="005F20F9"/>
    <w:rsid w:val="005F45F2"/>
    <w:rsid w:val="005F5254"/>
    <w:rsid w:val="005F5572"/>
    <w:rsid w:val="00600664"/>
    <w:rsid w:val="00601D36"/>
    <w:rsid w:val="00603BC4"/>
    <w:rsid w:val="00603FDC"/>
    <w:rsid w:val="00610CC5"/>
    <w:rsid w:val="00610F49"/>
    <w:rsid w:val="00612677"/>
    <w:rsid w:val="0061304A"/>
    <w:rsid w:val="00613981"/>
    <w:rsid w:val="00615A7E"/>
    <w:rsid w:val="00616E09"/>
    <w:rsid w:val="00617648"/>
    <w:rsid w:val="00620463"/>
    <w:rsid w:val="00621D67"/>
    <w:rsid w:val="00625BCE"/>
    <w:rsid w:val="00630068"/>
    <w:rsid w:val="00630E37"/>
    <w:rsid w:val="00631FA5"/>
    <w:rsid w:val="00632404"/>
    <w:rsid w:val="00634355"/>
    <w:rsid w:val="00640146"/>
    <w:rsid w:val="00640A15"/>
    <w:rsid w:val="0064475E"/>
    <w:rsid w:val="00651117"/>
    <w:rsid w:val="006522C2"/>
    <w:rsid w:val="0065737B"/>
    <w:rsid w:val="00657DA7"/>
    <w:rsid w:val="006606B0"/>
    <w:rsid w:val="0066154E"/>
    <w:rsid w:val="006648EC"/>
    <w:rsid w:val="00664AE1"/>
    <w:rsid w:val="0066516D"/>
    <w:rsid w:val="00667003"/>
    <w:rsid w:val="0066772B"/>
    <w:rsid w:val="00670BB2"/>
    <w:rsid w:val="006715C1"/>
    <w:rsid w:val="00673ACD"/>
    <w:rsid w:val="00675824"/>
    <w:rsid w:val="00677B2B"/>
    <w:rsid w:val="006813DF"/>
    <w:rsid w:val="00681A39"/>
    <w:rsid w:val="0068474A"/>
    <w:rsid w:val="006876AE"/>
    <w:rsid w:val="00691C9A"/>
    <w:rsid w:val="0069219F"/>
    <w:rsid w:val="0069284C"/>
    <w:rsid w:val="0069370B"/>
    <w:rsid w:val="006944A6"/>
    <w:rsid w:val="00697215"/>
    <w:rsid w:val="00697B8F"/>
    <w:rsid w:val="006A1BAC"/>
    <w:rsid w:val="006A495C"/>
    <w:rsid w:val="006A5A2A"/>
    <w:rsid w:val="006A6250"/>
    <w:rsid w:val="006A76E8"/>
    <w:rsid w:val="006A797B"/>
    <w:rsid w:val="006B1C3B"/>
    <w:rsid w:val="006B475E"/>
    <w:rsid w:val="006C2082"/>
    <w:rsid w:val="006C2228"/>
    <w:rsid w:val="006C3B12"/>
    <w:rsid w:val="006C44C2"/>
    <w:rsid w:val="006C6C9F"/>
    <w:rsid w:val="006C7457"/>
    <w:rsid w:val="006C7B7A"/>
    <w:rsid w:val="006D1A4F"/>
    <w:rsid w:val="006D1D1C"/>
    <w:rsid w:val="006D2E45"/>
    <w:rsid w:val="006D37CA"/>
    <w:rsid w:val="006D3B18"/>
    <w:rsid w:val="006D4297"/>
    <w:rsid w:val="006D4A91"/>
    <w:rsid w:val="006D580E"/>
    <w:rsid w:val="006E06B3"/>
    <w:rsid w:val="006E0E7A"/>
    <w:rsid w:val="006E35B9"/>
    <w:rsid w:val="006E3807"/>
    <w:rsid w:val="006E6FC3"/>
    <w:rsid w:val="006F6AD7"/>
    <w:rsid w:val="006F7020"/>
    <w:rsid w:val="006F742C"/>
    <w:rsid w:val="006F7B9D"/>
    <w:rsid w:val="007009D1"/>
    <w:rsid w:val="00700E7F"/>
    <w:rsid w:val="007012FD"/>
    <w:rsid w:val="00701976"/>
    <w:rsid w:val="00703B38"/>
    <w:rsid w:val="007043C1"/>
    <w:rsid w:val="00705875"/>
    <w:rsid w:val="00706B06"/>
    <w:rsid w:val="00707B2F"/>
    <w:rsid w:val="00707E54"/>
    <w:rsid w:val="00712BE0"/>
    <w:rsid w:val="007133C1"/>
    <w:rsid w:val="00715E92"/>
    <w:rsid w:val="00715EB0"/>
    <w:rsid w:val="007200D1"/>
    <w:rsid w:val="007204C4"/>
    <w:rsid w:val="00723649"/>
    <w:rsid w:val="00724846"/>
    <w:rsid w:val="007270E0"/>
    <w:rsid w:val="00731440"/>
    <w:rsid w:val="00733D97"/>
    <w:rsid w:val="0073443D"/>
    <w:rsid w:val="00734A9C"/>
    <w:rsid w:val="00735EB0"/>
    <w:rsid w:val="00736E87"/>
    <w:rsid w:val="00737104"/>
    <w:rsid w:val="00740F9C"/>
    <w:rsid w:val="007425C7"/>
    <w:rsid w:val="00745F49"/>
    <w:rsid w:val="007474F0"/>
    <w:rsid w:val="007477C6"/>
    <w:rsid w:val="0075223E"/>
    <w:rsid w:val="0075687B"/>
    <w:rsid w:val="00757126"/>
    <w:rsid w:val="007571BC"/>
    <w:rsid w:val="00761068"/>
    <w:rsid w:val="007615DA"/>
    <w:rsid w:val="00761864"/>
    <w:rsid w:val="00762617"/>
    <w:rsid w:val="00763276"/>
    <w:rsid w:val="00763E1C"/>
    <w:rsid w:val="00764F54"/>
    <w:rsid w:val="0076500A"/>
    <w:rsid w:val="007666B9"/>
    <w:rsid w:val="0077036E"/>
    <w:rsid w:val="007707C1"/>
    <w:rsid w:val="00772400"/>
    <w:rsid w:val="00772B58"/>
    <w:rsid w:val="007730DD"/>
    <w:rsid w:val="00773B47"/>
    <w:rsid w:val="0077410E"/>
    <w:rsid w:val="00774CDF"/>
    <w:rsid w:val="007756D6"/>
    <w:rsid w:val="0078004C"/>
    <w:rsid w:val="00781386"/>
    <w:rsid w:val="0078320C"/>
    <w:rsid w:val="00783B6D"/>
    <w:rsid w:val="007855F6"/>
    <w:rsid w:val="00792489"/>
    <w:rsid w:val="007948D9"/>
    <w:rsid w:val="007968DE"/>
    <w:rsid w:val="007A5C55"/>
    <w:rsid w:val="007B0CF9"/>
    <w:rsid w:val="007B1735"/>
    <w:rsid w:val="007B435A"/>
    <w:rsid w:val="007B5D57"/>
    <w:rsid w:val="007C0C9F"/>
    <w:rsid w:val="007C1536"/>
    <w:rsid w:val="007C1542"/>
    <w:rsid w:val="007C39BC"/>
    <w:rsid w:val="007D24DF"/>
    <w:rsid w:val="007D438C"/>
    <w:rsid w:val="007D4616"/>
    <w:rsid w:val="007D5AB5"/>
    <w:rsid w:val="007D63E3"/>
    <w:rsid w:val="007D72E2"/>
    <w:rsid w:val="007D7C72"/>
    <w:rsid w:val="007E17B0"/>
    <w:rsid w:val="007E258C"/>
    <w:rsid w:val="007E3CD8"/>
    <w:rsid w:val="007E3E4C"/>
    <w:rsid w:val="007E6A2B"/>
    <w:rsid w:val="007F052C"/>
    <w:rsid w:val="007F1A5F"/>
    <w:rsid w:val="007F1F08"/>
    <w:rsid w:val="007F3CE2"/>
    <w:rsid w:val="007F440E"/>
    <w:rsid w:val="007F5269"/>
    <w:rsid w:val="007F6237"/>
    <w:rsid w:val="007F7979"/>
    <w:rsid w:val="008027E4"/>
    <w:rsid w:val="008201A4"/>
    <w:rsid w:val="00820B01"/>
    <w:rsid w:val="00821EF0"/>
    <w:rsid w:val="0082278D"/>
    <w:rsid w:val="008251DA"/>
    <w:rsid w:val="00827AE7"/>
    <w:rsid w:val="00830440"/>
    <w:rsid w:val="0083058E"/>
    <w:rsid w:val="00832490"/>
    <w:rsid w:val="008327A8"/>
    <w:rsid w:val="00832858"/>
    <w:rsid w:val="008374D2"/>
    <w:rsid w:val="00840CA6"/>
    <w:rsid w:val="00841220"/>
    <w:rsid w:val="00841A87"/>
    <w:rsid w:val="00844AED"/>
    <w:rsid w:val="00845490"/>
    <w:rsid w:val="00845B75"/>
    <w:rsid w:val="00850370"/>
    <w:rsid w:val="00850C5D"/>
    <w:rsid w:val="008519D4"/>
    <w:rsid w:val="00852642"/>
    <w:rsid w:val="008569F1"/>
    <w:rsid w:val="00856A54"/>
    <w:rsid w:val="00860168"/>
    <w:rsid w:val="00860559"/>
    <w:rsid w:val="00861AD1"/>
    <w:rsid w:val="00862F53"/>
    <w:rsid w:val="00865C84"/>
    <w:rsid w:val="008661F5"/>
    <w:rsid w:val="008672CE"/>
    <w:rsid w:val="00871312"/>
    <w:rsid w:val="00876577"/>
    <w:rsid w:val="00881D8C"/>
    <w:rsid w:val="00882540"/>
    <w:rsid w:val="00882D9D"/>
    <w:rsid w:val="00885150"/>
    <w:rsid w:val="00886F40"/>
    <w:rsid w:val="0089001B"/>
    <w:rsid w:val="008906FB"/>
    <w:rsid w:val="00891AFE"/>
    <w:rsid w:val="008932B8"/>
    <w:rsid w:val="00893370"/>
    <w:rsid w:val="0089543F"/>
    <w:rsid w:val="00896AC1"/>
    <w:rsid w:val="008A17DD"/>
    <w:rsid w:val="008A2D7B"/>
    <w:rsid w:val="008A2D7F"/>
    <w:rsid w:val="008A4463"/>
    <w:rsid w:val="008B114A"/>
    <w:rsid w:val="008B2C15"/>
    <w:rsid w:val="008B316F"/>
    <w:rsid w:val="008B5842"/>
    <w:rsid w:val="008B6E9F"/>
    <w:rsid w:val="008B6F36"/>
    <w:rsid w:val="008C1A02"/>
    <w:rsid w:val="008C39A4"/>
    <w:rsid w:val="008C4DAF"/>
    <w:rsid w:val="008D0764"/>
    <w:rsid w:val="008D2FF0"/>
    <w:rsid w:val="008D33E3"/>
    <w:rsid w:val="008D3CA4"/>
    <w:rsid w:val="008D6E30"/>
    <w:rsid w:val="008D782F"/>
    <w:rsid w:val="008E1029"/>
    <w:rsid w:val="008E259F"/>
    <w:rsid w:val="008E3098"/>
    <w:rsid w:val="008E4D1B"/>
    <w:rsid w:val="008E53AF"/>
    <w:rsid w:val="008E7AC7"/>
    <w:rsid w:val="008F10A8"/>
    <w:rsid w:val="008F27A3"/>
    <w:rsid w:val="008F2C18"/>
    <w:rsid w:val="008F3BB0"/>
    <w:rsid w:val="008F4052"/>
    <w:rsid w:val="008F4901"/>
    <w:rsid w:val="008F4DFB"/>
    <w:rsid w:val="008F5385"/>
    <w:rsid w:val="0090013F"/>
    <w:rsid w:val="009008C4"/>
    <w:rsid w:val="00900B42"/>
    <w:rsid w:val="009024F6"/>
    <w:rsid w:val="0090298A"/>
    <w:rsid w:val="00904713"/>
    <w:rsid w:val="00904818"/>
    <w:rsid w:val="00904CC2"/>
    <w:rsid w:val="00905540"/>
    <w:rsid w:val="009113F9"/>
    <w:rsid w:val="00911F36"/>
    <w:rsid w:val="00913399"/>
    <w:rsid w:val="00914C91"/>
    <w:rsid w:val="00916739"/>
    <w:rsid w:val="009207D7"/>
    <w:rsid w:val="0092261C"/>
    <w:rsid w:val="00922EE9"/>
    <w:rsid w:val="00925A0A"/>
    <w:rsid w:val="00925BF2"/>
    <w:rsid w:val="009265E2"/>
    <w:rsid w:val="00926F0D"/>
    <w:rsid w:val="00927B49"/>
    <w:rsid w:val="009313E7"/>
    <w:rsid w:val="0093381A"/>
    <w:rsid w:val="009400A3"/>
    <w:rsid w:val="00940403"/>
    <w:rsid w:val="009424F8"/>
    <w:rsid w:val="009448A2"/>
    <w:rsid w:val="009449CA"/>
    <w:rsid w:val="00947C66"/>
    <w:rsid w:val="00950190"/>
    <w:rsid w:val="00950F66"/>
    <w:rsid w:val="0095181B"/>
    <w:rsid w:val="00953F55"/>
    <w:rsid w:val="009549A6"/>
    <w:rsid w:val="009569ED"/>
    <w:rsid w:val="0096034C"/>
    <w:rsid w:val="009624F4"/>
    <w:rsid w:val="00962B94"/>
    <w:rsid w:val="00966246"/>
    <w:rsid w:val="00966F8E"/>
    <w:rsid w:val="00976A60"/>
    <w:rsid w:val="0098199D"/>
    <w:rsid w:val="00981D53"/>
    <w:rsid w:val="00981EDE"/>
    <w:rsid w:val="0098329C"/>
    <w:rsid w:val="00986288"/>
    <w:rsid w:val="00987120"/>
    <w:rsid w:val="009875A8"/>
    <w:rsid w:val="00987D81"/>
    <w:rsid w:val="00987F6C"/>
    <w:rsid w:val="009909B1"/>
    <w:rsid w:val="00991623"/>
    <w:rsid w:val="009916E7"/>
    <w:rsid w:val="00994872"/>
    <w:rsid w:val="009948AA"/>
    <w:rsid w:val="00995FEE"/>
    <w:rsid w:val="00996B9A"/>
    <w:rsid w:val="00997615"/>
    <w:rsid w:val="00997BA7"/>
    <w:rsid w:val="009A0941"/>
    <w:rsid w:val="009A2594"/>
    <w:rsid w:val="009A2DEB"/>
    <w:rsid w:val="009A46B3"/>
    <w:rsid w:val="009B29AC"/>
    <w:rsid w:val="009B353F"/>
    <w:rsid w:val="009B3C4B"/>
    <w:rsid w:val="009B3DE3"/>
    <w:rsid w:val="009B5024"/>
    <w:rsid w:val="009B534A"/>
    <w:rsid w:val="009C0726"/>
    <w:rsid w:val="009C0A78"/>
    <w:rsid w:val="009C1F35"/>
    <w:rsid w:val="009C30C5"/>
    <w:rsid w:val="009C3E9A"/>
    <w:rsid w:val="009C5091"/>
    <w:rsid w:val="009C6018"/>
    <w:rsid w:val="009D1F36"/>
    <w:rsid w:val="009D2415"/>
    <w:rsid w:val="009D2F50"/>
    <w:rsid w:val="009D47D9"/>
    <w:rsid w:val="009D6730"/>
    <w:rsid w:val="009D77F2"/>
    <w:rsid w:val="009E0B3A"/>
    <w:rsid w:val="009E1CBD"/>
    <w:rsid w:val="009E4101"/>
    <w:rsid w:val="009E4604"/>
    <w:rsid w:val="009E73FC"/>
    <w:rsid w:val="009E7564"/>
    <w:rsid w:val="009E75DF"/>
    <w:rsid w:val="009F2615"/>
    <w:rsid w:val="009F2C23"/>
    <w:rsid w:val="009F39DE"/>
    <w:rsid w:val="009F4155"/>
    <w:rsid w:val="009F4596"/>
    <w:rsid w:val="009F4730"/>
    <w:rsid w:val="009F4EED"/>
    <w:rsid w:val="009F72F7"/>
    <w:rsid w:val="00A020F8"/>
    <w:rsid w:val="00A02171"/>
    <w:rsid w:val="00A0242D"/>
    <w:rsid w:val="00A03903"/>
    <w:rsid w:val="00A04C1B"/>
    <w:rsid w:val="00A0711D"/>
    <w:rsid w:val="00A07F97"/>
    <w:rsid w:val="00A10615"/>
    <w:rsid w:val="00A12134"/>
    <w:rsid w:val="00A1319F"/>
    <w:rsid w:val="00A13936"/>
    <w:rsid w:val="00A1589F"/>
    <w:rsid w:val="00A1762D"/>
    <w:rsid w:val="00A2053D"/>
    <w:rsid w:val="00A20D58"/>
    <w:rsid w:val="00A21B8A"/>
    <w:rsid w:val="00A22034"/>
    <w:rsid w:val="00A2235A"/>
    <w:rsid w:val="00A2375A"/>
    <w:rsid w:val="00A2466D"/>
    <w:rsid w:val="00A2587F"/>
    <w:rsid w:val="00A270E6"/>
    <w:rsid w:val="00A32E4B"/>
    <w:rsid w:val="00A33772"/>
    <w:rsid w:val="00A33ADE"/>
    <w:rsid w:val="00A340FC"/>
    <w:rsid w:val="00A342DF"/>
    <w:rsid w:val="00A34A45"/>
    <w:rsid w:val="00A3625A"/>
    <w:rsid w:val="00A37490"/>
    <w:rsid w:val="00A40FB6"/>
    <w:rsid w:val="00A42F4E"/>
    <w:rsid w:val="00A448BE"/>
    <w:rsid w:val="00A44EF1"/>
    <w:rsid w:val="00A47BBB"/>
    <w:rsid w:val="00A50449"/>
    <w:rsid w:val="00A528A2"/>
    <w:rsid w:val="00A605F2"/>
    <w:rsid w:val="00A60980"/>
    <w:rsid w:val="00A61658"/>
    <w:rsid w:val="00A62D9B"/>
    <w:rsid w:val="00A63278"/>
    <w:rsid w:val="00A63478"/>
    <w:rsid w:val="00A644A3"/>
    <w:rsid w:val="00A64973"/>
    <w:rsid w:val="00A65117"/>
    <w:rsid w:val="00A656A0"/>
    <w:rsid w:val="00A656AF"/>
    <w:rsid w:val="00A660AA"/>
    <w:rsid w:val="00A71557"/>
    <w:rsid w:val="00A715B4"/>
    <w:rsid w:val="00A719A9"/>
    <w:rsid w:val="00A72093"/>
    <w:rsid w:val="00A7257F"/>
    <w:rsid w:val="00A72767"/>
    <w:rsid w:val="00A747A6"/>
    <w:rsid w:val="00A8148A"/>
    <w:rsid w:val="00A85E46"/>
    <w:rsid w:val="00A86D65"/>
    <w:rsid w:val="00A90A4A"/>
    <w:rsid w:val="00A91711"/>
    <w:rsid w:val="00A92F57"/>
    <w:rsid w:val="00A93872"/>
    <w:rsid w:val="00A94A4C"/>
    <w:rsid w:val="00AA2566"/>
    <w:rsid w:val="00AA3E45"/>
    <w:rsid w:val="00AA5293"/>
    <w:rsid w:val="00AB0E6B"/>
    <w:rsid w:val="00AB1B2B"/>
    <w:rsid w:val="00AB353D"/>
    <w:rsid w:val="00AB36DC"/>
    <w:rsid w:val="00AB3E5C"/>
    <w:rsid w:val="00AB5EAD"/>
    <w:rsid w:val="00AB6B97"/>
    <w:rsid w:val="00AB6D7E"/>
    <w:rsid w:val="00AC29B2"/>
    <w:rsid w:val="00AC5174"/>
    <w:rsid w:val="00AC6069"/>
    <w:rsid w:val="00AC6CE2"/>
    <w:rsid w:val="00AD257B"/>
    <w:rsid w:val="00AD3A49"/>
    <w:rsid w:val="00AD419E"/>
    <w:rsid w:val="00AD4904"/>
    <w:rsid w:val="00AD4A89"/>
    <w:rsid w:val="00AD4E8D"/>
    <w:rsid w:val="00AD4F18"/>
    <w:rsid w:val="00AD54E5"/>
    <w:rsid w:val="00AD5B1B"/>
    <w:rsid w:val="00AD74C5"/>
    <w:rsid w:val="00AE1B11"/>
    <w:rsid w:val="00AE1B2B"/>
    <w:rsid w:val="00AE343E"/>
    <w:rsid w:val="00AE589E"/>
    <w:rsid w:val="00AE5AD0"/>
    <w:rsid w:val="00AE6806"/>
    <w:rsid w:val="00AE77A6"/>
    <w:rsid w:val="00AF421A"/>
    <w:rsid w:val="00AF591D"/>
    <w:rsid w:val="00AF6DD4"/>
    <w:rsid w:val="00AF7C2E"/>
    <w:rsid w:val="00B01AA8"/>
    <w:rsid w:val="00B04597"/>
    <w:rsid w:val="00B054B9"/>
    <w:rsid w:val="00B056AF"/>
    <w:rsid w:val="00B078DC"/>
    <w:rsid w:val="00B1318B"/>
    <w:rsid w:val="00B15C50"/>
    <w:rsid w:val="00B166CA"/>
    <w:rsid w:val="00B175CC"/>
    <w:rsid w:val="00B206BE"/>
    <w:rsid w:val="00B20B6A"/>
    <w:rsid w:val="00B23522"/>
    <w:rsid w:val="00B2474F"/>
    <w:rsid w:val="00B306D2"/>
    <w:rsid w:val="00B308EB"/>
    <w:rsid w:val="00B33A8B"/>
    <w:rsid w:val="00B33F13"/>
    <w:rsid w:val="00B34A03"/>
    <w:rsid w:val="00B35140"/>
    <w:rsid w:val="00B377E6"/>
    <w:rsid w:val="00B4133C"/>
    <w:rsid w:val="00B42670"/>
    <w:rsid w:val="00B45F77"/>
    <w:rsid w:val="00B4720E"/>
    <w:rsid w:val="00B5026C"/>
    <w:rsid w:val="00B56D80"/>
    <w:rsid w:val="00B56FF0"/>
    <w:rsid w:val="00B62D7D"/>
    <w:rsid w:val="00B660F4"/>
    <w:rsid w:val="00B676C6"/>
    <w:rsid w:val="00B70B8D"/>
    <w:rsid w:val="00B738ED"/>
    <w:rsid w:val="00B801E6"/>
    <w:rsid w:val="00B80241"/>
    <w:rsid w:val="00B8197A"/>
    <w:rsid w:val="00B81AFC"/>
    <w:rsid w:val="00B81D82"/>
    <w:rsid w:val="00B8368D"/>
    <w:rsid w:val="00B87220"/>
    <w:rsid w:val="00B91B28"/>
    <w:rsid w:val="00B91C80"/>
    <w:rsid w:val="00B9556D"/>
    <w:rsid w:val="00B956EE"/>
    <w:rsid w:val="00B97C15"/>
    <w:rsid w:val="00BA031A"/>
    <w:rsid w:val="00BA179B"/>
    <w:rsid w:val="00BA2483"/>
    <w:rsid w:val="00BA2B24"/>
    <w:rsid w:val="00BA39FE"/>
    <w:rsid w:val="00BA592A"/>
    <w:rsid w:val="00BB299A"/>
    <w:rsid w:val="00BB328F"/>
    <w:rsid w:val="00BB3366"/>
    <w:rsid w:val="00BB43E6"/>
    <w:rsid w:val="00BB43E8"/>
    <w:rsid w:val="00BB6B0B"/>
    <w:rsid w:val="00BB6E6C"/>
    <w:rsid w:val="00BB714D"/>
    <w:rsid w:val="00BC12F4"/>
    <w:rsid w:val="00BC15A4"/>
    <w:rsid w:val="00BC4529"/>
    <w:rsid w:val="00BC70EE"/>
    <w:rsid w:val="00BD0BFD"/>
    <w:rsid w:val="00BD1929"/>
    <w:rsid w:val="00BD356D"/>
    <w:rsid w:val="00BD3821"/>
    <w:rsid w:val="00BD3E18"/>
    <w:rsid w:val="00BE4206"/>
    <w:rsid w:val="00BE5E9A"/>
    <w:rsid w:val="00BE69A7"/>
    <w:rsid w:val="00BE6EA3"/>
    <w:rsid w:val="00BE6F39"/>
    <w:rsid w:val="00BF0398"/>
    <w:rsid w:val="00BF3DEF"/>
    <w:rsid w:val="00BF3E56"/>
    <w:rsid w:val="00BF5F35"/>
    <w:rsid w:val="00BF6E7A"/>
    <w:rsid w:val="00BF7799"/>
    <w:rsid w:val="00C016CA"/>
    <w:rsid w:val="00C01C6C"/>
    <w:rsid w:val="00C03EB6"/>
    <w:rsid w:val="00C04A15"/>
    <w:rsid w:val="00C04DBE"/>
    <w:rsid w:val="00C0623A"/>
    <w:rsid w:val="00C072A6"/>
    <w:rsid w:val="00C10482"/>
    <w:rsid w:val="00C10869"/>
    <w:rsid w:val="00C128B6"/>
    <w:rsid w:val="00C15B9D"/>
    <w:rsid w:val="00C15C91"/>
    <w:rsid w:val="00C1733B"/>
    <w:rsid w:val="00C20C42"/>
    <w:rsid w:val="00C216EE"/>
    <w:rsid w:val="00C21F79"/>
    <w:rsid w:val="00C24847"/>
    <w:rsid w:val="00C249B0"/>
    <w:rsid w:val="00C25A7E"/>
    <w:rsid w:val="00C25EF0"/>
    <w:rsid w:val="00C2750C"/>
    <w:rsid w:val="00C313B4"/>
    <w:rsid w:val="00C313CC"/>
    <w:rsid w:val="00C3204C"/>
    <w:rsid w:val="00C34D97"/>
    <w:rsid w:val="00C355BF"/>
    <w:rsid w:val="00C35A7C"/>
    <w:rsid w:val="00C35D07"/>
    <w:rsid w:val="00C35D15"/>
    <w:rsid w:val="00C40368"/>
    <w:rsid w:val="00C40815"/>
    <w:rsid w:val="00C472D4"/>
    <w:rsid w:val="00C51B98"/>
    <w:rsid w:val="00C532D9"/>
    <w:rsid w:val="00C54FDF"/>
    <w:rsid w:val="00C54FFC"/>
    <w:rsid w:val="00C569D0"/>
    <w:rsid w:val="00C57DF7"/>
    <w:rsid w:val="00C61848"/>
    <w:rsid w:val="00C62981"/>
    <w:rsid w:val="00C63742"/>
    <w:rsid w:val="00C6501C"/>
    <w:rsid w:val="00C672D9"/>
    <w:rsid w:val="00C67EE1"/>
    <w:rsid w:val="00C73136"/>
    <w:rsid w:val="00C74BF6"/>
    <w:rsid w:val="00C76144"/>
    <w:rsid w:val="00C80B31"/>
    <w:rsid w:val="00C83AAE"/>
    <w:rsid w:val="00C83D60"/>
    <w:rsid w:val="00C8507A"/>
    <w:rsid w:val="00C86F25"/>
    <w:rsid w:val="00C878AC"/>
    <w:rsid w:val="00C87CA2"/>
    <w:rsid w:val="00C90D07"/>
    <w:rsid w:val="00C90E5B"/>
    <w:rsid w:val="00C95A52"/>
    <w:rsid w:val="00C96128"/>
    <w:rsid w:val="00C9715F"/>
    <w:rsid w:val="00CA08C5"/>
    <w:rsid w:val="00CA1896"/>
    <w:rsid w:val="00CA21AB"/>
    <w:rsid w:val="00CA3500"/>
    <w:rsid w:val="00CA504C"/>
    <w:rsid w:val="00CA5905"/>
    <w:rsid w:val="00CA5C58"/>
    <w:rsid w:val="00CA715A"/>
    <w:rsid w:val="00CB2216"/>
    <w:rsid w:val="00CB22B9"/>
    <w:rsid w:val="00CB7225"/>
    <w:rsid w:val="00CB774A"/>
    <w:rsid w:val="00CC2643"/>
    <w:rsid w:val="00CC32A6"/>
    <w:rsid w:val="00CC625B"/>
    <w:rsid w:val="00CD06B4"/>
    <w:rsid w:val="00CD31C5"/>
    <w:rsid w:val="00CD5447"/>
    <w:rsid w:val="00CD709A"/>
    <w:rsid w:val="00CD7315"/>
    <w:rsid w:val="00CE0404"/>
    <w:rsid w:val="00CE16E5"/>
    <w:rsid w:val="00CE1754"/>
    <w:rsid w:val="00CE17A6"/>
    <w:rsid w:val="00CE4618"/>
    <w:rsid w:val="00CE5228"/>
    <w:rsid w:val="00CF2F8E"/>
    <w:rsid w:val="00CF436E"/>
    <w:rsid w:val="00CF6F83"/>
    <w:rsid w:val="00CF74F6"/>
    <w:rsid w:val="00CF7E40"/>
    <w:rsid w:val="00D02A24"/>
    <w:rsid w:val="00D07883"/>
    <w:rsid w:val="00D10091"/>
    <w:rsid w:val="00D117B1"/>
    <w:rsid w:val="00D14580"/>
    <w:rsid w:val="00D14954"/>
    <w:rsid w:val="00D14C4D"/>
    <w:rsid w:val="00D16BB5"/>
    <w:rsid w:val="00D16DA8"/>
    <w:rsid w:val="00D21954"/>
    <w:rsid w:val="00D227AC"/>
    <w:rsid w:val="00D23C2B"/>
    <w:rsid w:val="00D257DE"/>
    <w:rsid w:val="00D25F55"/>
    <w:rsid w:val="00D26993"/>
    <w:rsid w:val="00D32F08"/>
    <w:rsid w:val="00D34863"/>
    <w:rsid w:val="00D37BCA"/>
    <w:rsid w:val="00D416C5"/>
    <w:rsid w:val="00D46E7A"/>
    <w:rsid w:val="00D476B7"/>
    <w:rsid w:val="00D50116"/>
    <w:rsid w:val="00D5062C"/>
    <w:rsid w:val="00D51F14"/>
    <w:rsid w:val="00D51FE4"/>
    <w:rsid w:val="00D57484"/>
    <w:rsid w:val="00D57FB0"/>
    <w:rsid w:val="00D7107E"/>
    <w:rsid w:val="00D72631"/>
    <w:rsid w:val="00D77029"/>
    <w:rsid w:val="00D77283"/>
    <w:rsid w:val="00D77E94"/>
    <w:rsid w:val="00D81318"/>
    <w:rsid w:val="00D81A3A"/>
    <w:rsid w:val="00D820CC"/>
    <w:rsid w:val="00D82232"/>
    <w:rsid w:val="00D82924"/>
    <w:rsid w:val="00D84135"/>
    <w:rsid w:val="00D84861"/>
    <w:rsid w:val="00D9314F"/>
    <w:rsid w:val="00D94BD8"/>
    <w:rsid w:val="00D97831"/>
    <w:rsid w:val="00DA7422"/>
    <w:rsid w:val="00DB0D9D"/>
    <w:rsid w:val="00DB3EAD"/>
    <w:rsid w:val="00DB62C8"/>
    <w:rsid w:val="00DB7282"/>
    <w:rsid w:val="00DC2CB8"/>
    <w:rsid w:val="00DC3D36"/>
    <w:rsid w:val="00DC4FF7"/>
    <w:rsid w:val="00DC6AD9"/>
    <w:rsid w:val="00DC6FBE"/>
    <w:rsid w:val="00DD1C72"/>
    <w:rsid w:val="00DD3465"/>
    <w:rsid w:val="00DD4480"/>
    <w:rsid w:val="00DD5622"/>
    <w:rsid w:val="00DD5761"/>
    <w:rsid w:val="00DD6C96"/>
    <w:rsid w:val="00DD7ECD"/>
    <w:rsid w:val="00DE16CF"/>
    <w:rsid w:val="00DE35A4"/>
    <w:rsid w:val="00DE367B"/>
    <w:rsid w:val="00DE6E03"/>
    <w:rsid w:val="00DF0706"/>
    <w:rsid w:val="00DF1DC0"/>
    <w:rsid w:val="00DF1EAC"/>
    <w:rsid w:val="00DF26E1"/>
    <w:rsid w:val="00DF32DB"/>
    <w:rsid w:val="00DF3410"/>
    <w:rsid w:val="00DF3EB9"/>
    <w:rsid w:val="00DF63C6"/>
    <w:rsid w:val="00DF7C91"/>
    <w:rsid w:val="00E0157C"/>
    <w:rsid w:val="00E03259"/>
    <w:rsid w:val="00E0364F"/>
    <w:rsid w:val="00E03BA2"/>
    <w:rsid w:val="00E05FFF"/>
    <w:rsid w:val="00E06B7E"/>
    <w:rsid w:val="00E12336"/>
    <w:rsid w:val="00E12835"/>
    <w:rsid w:val="00E149B7"/>
    <w:rsid w:val="00E14AEF"/>
    <w:rsid w:val="00E1557F"/>
    <w:rsid w:val="00E15D0D"/>
    <w:rsid w:val="00E15EB2"/>
    <w:rsid w:val="00E16306"/>
    <w:rsid w:val="00E174C8"/>
    <w:rsid w:val="00E206D9"/>
    <w:rsid w:val="00E20CB2"/>
    <w:rsid w:val="00E24422"/>
    <w:rsid w:val="00E2467D"/>
    <w:rsid w:val="00E24785"/>
    <w:rsid w:val="00E25DA4"/>
    <w:rsid w:val="00E2620A"/>
    <w:rsid w:val="00E30C72"/>
    <w:rsid w:val="00E3194C"/>
    <w:rsid w:val="00E362DA"/>
    <w:rsid w:val="00E42B4B"/>
    <w:rsid w:val="00E457AB"/>
    <w:rsid w:val="00E45AC3"/>
    <w:rsid w:val="00E470BA"/>
    <w:rsid w:val="00E524A5"/>
    <w:rsid w:val="00E571B6"/>
    <w:rsid w:val="00E57ADF"/>
    <w:rsid w:val="00E62191"/>
    <w:rsid w:val="00E62AE5"/>
    <w:rsid w:val="00E80A35"/>
    <w:rsid w:val="00E81E5F"/>
    <w:rsid w:val="00E825B1"/>
    <w:rsid w:val="00E82B87"/>
    <w:rsid w:val="00E83638"/>
    <w:rsid w:val="00E83B20"/>
    <w:rsid w:val="00E84C0B"/>
    <w:rsid w:val="00E85934"/>
    <w:rsid w:val="00E90285"/>
    <w:rsid w:val="00E90627"/>
    <w:rsid w:val="00E93066"/>
    <w:rsid w:val="00E93CDA"/>
    <w:rsid w:val="00E96BB8"/>
    <w:rsid w:val="00EA2789"/>
    <w:rsid w:val="00EA46AF"/>
    <w:rsid w:val="00EA67B8"/>
    <w:rsid w:val="00EA6A66"/>
    <w:rsid w:val="00EB1538"/>
    <w:rsid w:val="00EB1946"/>
    <w:rsid w:val="00EB4604"/>
    <w:rsid w:val="00EB5EC8"/>
    <w:rsid w:val="00EC451E"/>
    <w:rsid w:val="00EC6FE3"/>
    <w:rsid w:val="00ED0925"/>
    <w:rsid w:val="00ED114B"/>
    <w:rsid w:val="00ED1DBB"/>
    <w:rsid w:val="00ED4CA9"/>
    <w:rsid w:val="00ED5827"/>
    <w:rsid w:val="00ED5E98"/>
    <w:rsid w:val="00ED64CA"/>
    <w:rsid w:val="00ED6D7D"/>
    <w:rsid w:val="00ED7C2B"/>
    <w:rsid w:val="00EE063D"/>
    <w:rsid w:val="00EE4CBF"/>
    <w:rsid w:val="00EE5CFE"/>
    <w:rsid w:val="00EE60F8"/>
    <w:rsid w:val="00EF5185"/>
    <w:rsid w:val="00EF6249"/>
    <w:rsid w:val="00F025E5"/>
    <w:rsid w:val="00F0464A"/>
    <w:rsid w:val="00F05C04"/>
    <w:rsid w:val="00F0707D"/>
    <w:rsid w:val="00F075AD"/>
    <w:rsid w:val="00F12565"/>
    <w:rsid w:val="00F1490C"/>
    <w:rsid w:val="00F14E87"/>
    <w:rsid w:val="00F1601D"/>
    <w:rsid w:val="00F16554"/>
    <w:rsid w:val="00F1676E"/>
    <w:rsid w:val="00F17205"/>
    <w:rsid w:val="00F17B66"/>
    <w:rsid w:val="00F21615"/>
    <w:rsid w:val="00F218C5"/>
    <w:rsid w:val="00F21E93"/>
    <w:rsid w:val="00F2253F"/>
    <w:rsid w:val="00F24522"/>
    <w:rsid w:val="00F24A22"/>
    <w:rsid w:val="00F24F9D"/>
    <w:rsid w:val="00F25E7D"/>
    <w:rsid w:val="00F27698"/>
    <w:rsid w:val="00F30E19"/>
    <w:rsid w:val="00F33829"/>
    <w:rsid w:val="00F3777A"/>
    <w:rsid w:val="00F42542"/>
    <w:rsid w:val="00F437B6"/>
    <w:rsid w:val="00F4650B"/>
    <w:rsid w:val="00F47550"/>
    <w:rsid w:val="00F50213"/>
    <w:rsid w:val="00F51DA5"/>
    <w:rsid w:val="00F528D8"/>
    <w:rsid w:val="00F54698"/>
    <w:rsid w:val="00F55C1E"/>
    <w:rsid w:val="00F634F1"/>
    <w:rsid w:val="00F65E9D"/>
    <w:rsid w:val="00F6772C"/>
    <w:rsid w:val="00F71680"/>
    <w:rsid w:val="00F72DC9"/>
    <w:rsid w:val="00F75383"/>
    <w:rsid w:val="00F7651F"/>
    <w:rsid w:val="00F81F8F"/>
    <w:rsid w:val="00F82EFE"/>
    <w:rsid w:val="00F83538"/>
    <w:rsid w:val="00F85508"/>
    <w:rsid w:val="00F85686"/>
    <w:rsid w:val="00F9318E"/>
    <w:rsid w:val="00F94D7C"/>
    <w:rsid w:val="00FA4628"/>
    <w:rsid w:val="00FA5386"/>
    <w:rsid w:val="00FB00BE"/>
    <w:rsid w:val="00FB0360"/>
    <w:rsid w:val="00FB0684"/>
    <w:rsid w:val="00FB0D5D"/>
    <w:rsid w:val="00FB0D71"/>
    <w:rsid w:val="00FB10BF"/>
    <w:rsid w:val="00FB1934"/>
    <w:rsid w:val="00FB1FD3"/>
    <w:rsid w:val="00FB2282"/>
    <w:rsid w:val="00FB4815"/>
    <w:rsid w:val="00FB6976"/>
    <w:rsid w:val="00FB76A4"/>
    <w:rsid w:val="00FC1F5E"/>
    <w:rsid w:val="00FC2609"/>
    <w:rsid w:val="00FC3976"/>
    <w:rsid w:val="00FC6D02"/>
    <w:rsid w:val="00FC70D6"/>
    <w:rsid w:val="00FD67D1"/>
    <w:rsid w:val="00FD6AF8"/>
    <w:rsid w:val="00FD739F"/>
    <w:rsid w:val="00FD7C1C"/>
    <w:rsid w:val="00FD7F53"/>
    <w:rsid w:val="00FE4680"/>
    <w:rsid w:val="00FE4824"/>
    <w:rsid w:val="00FF0E5D"/>
    <w:rsid w:val="00FF2205"/>
    <w:rsid w:val="00FF30DB"/>
    <w:rsid w:val="00FF5436"/>
    <w:rsid w:val="00FF57F3"/>
    <w:rsid w:val="00FF63EB"/>
    <w:rsid w:val="00FF647C"/>
    <w:rsid w:val="00FF70F3"/>
    <w:rsid w:val="00FF7451"/>
    <w:rsid w:val="00FF76D5"/>
    <w:rsid w:val="00FF7A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47C1A1"/>
  <w15:docId w15:val="{FA633634-9A28-41D2-80E3-89E688F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72"/>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9"/>
    <w:rsid w:val="00A33772"/>
    <w:pPr>
      <w:keepNext/>
      <w:tabs>
        <w:tab w:val="left" w:pos="432"/>
      </w:tabs>
      <w:ind w:left="432" w:hanging="432"/>
      <w:jc w:val="both"/>
      <w:outlineLvl w:val="0"/>
    </w:pPr>
    <w:rPr>
      <w:b/>
      <w:bCs/>
      <w:sz w:val="20"/>
      <w:szCs w:val="20"/>
      <w:lang w:val="en-US"/>
    </w:rPr>
  </w:style>
  <w:style w:type="paragraph" w:customStyle="1" w:styleId="Ttulo31">
    <w:name w:val="Título 31"/>
    <w:basedOn w:val="Normal"/>
    <w:next w:val="Normal"/>
    <w:link w:val="Ttulo3Char"/>
    <w:uiPriority w:val="99"/>
    <w:rsid w:val="00A33772"/>
    <w:pPr>
      <w:keepNext/>
      <w:keepLines/>
      <w:spacing w:before="200"/>
      <w:outlineLvl w:val="2"/>
    </w:pPr>
    <w:rPr>
      <w:rFonts w:ascii="Cambria" w:hAnsi="Cambria"/>
      <w:b/>
      <w:bCs/>
      <w:color w:val="4F81BD"/>
    </w:rPr>
  </w:style>
  <w:style w:type="character" w:customStyle="1" w:styleId="Ttulo1Char">
    <w:name w:val="Título 1 Char"/>
    <w:basedOn w:val="Fontepargpadro"/>
    <w:link w:val="Ttulo11"/>
    <w:uiPriority w:val="99"/>
    <w:locked/>
    <w:rsid w:val="00A33772"/>
    <w:rPr>
      <w:rFonts w:ascii="Times New Roman" w:hAnsi="Times New Roman" w:cs="Times New Roman"/>
      <w:b/>
      <w:bCs/>
      <w:sz w:val="20"/>
      <w:szCs w:val="20"/>
      <w:lang w:val="en-US" w:eastAsia="ar-SA" w:bidi="ar-SA"/>
    </w:rPr>
  </w:style>
  <w:style w:type="character" w:customStyle="1" w:styleId="Ttulo3Char">
    <w:name w:val="Título 3 Char"/>
    <w:basedOn w:val="Fontepargpadro"/>
    <w:link w:val="Ttulo31"/>
    <w:uiPriority w:val="99"/>
    <w:semiHidden/>
    <w:locked/>
    <w:rsid w:val="00A33772"/>
    <w:rPr>
      <w:rFonts w:ascii="Cambria" w:hAnsi="Cambria" w:cs="Times New Roman"/>
      <w:b/>
      <w:bCs/>
      <w:color w:val="4F81BD"/>
      <w:sz w:val="24"/>
      <w:szCs w:val="24"/>
      <w:lang w:eastAsia="ar-SA" w:bidi="ar-SA"/>
    </w:rPr>
  </w:style>
  <w:style w:type="character" w:customStyle="1" w:styleId="BodyTextIndentChar">
    <w:name w:val="Body Text Indent Char"/>
    <w:uiPriority w:val="99"/>
    <w:locked/>
    <w:rsid w:val="00A33772"/>
    <w:rPr>
      <w:rFonts w:ascii="Times New Roman" w:hAnsi="Times New Roman"/>
      <w:sz w:val="24"/>
      <w:lang w:eastAsia="ar-SA" w:bidi="ar-SA"/>
    </w:rPr>
  </w:style>
  <w:style w:type="character" w:customStyle="1" w:styleId="CabealhoChar">
    <w:name w:val="Cabeçalho Char"/>
    <w:basedOn w:val="Fontepargpadro"/>
    <w:link w:val="Cabealho1"/>
    <w:uiPriority w:val="99"/>
    <w:locked/>
    <w:rsid w:val="00A33772"/>
    <w:rPr>
      <w:rFonts w:ascii="Times New Roman" w:hAnsi="Times New Roman" w:cs="Times New Roman"/>
      <w:sz w:val="24"/>
      <w:szCs w:val="24"/>
      <w:lang w:eastAsia="ar-SA" w:bidi="ar-SA"/>
    </w:rPr>
  </w:style>
  <w:style w:type="character" w:customStyle="1" w:styleId="BalloonTextChar">
    <w:name w:val="Balloon Text Char"/>
    <w:uiPriority w:val="99"/>
    <w:semiHidden/>
    <w:locked/>
    <w:rsid w:val="00A33772"/>
    <w:rPr>
      <w:rFonts w:ascii="Tahoma" w:hAnsi="Tahoma"/>
      <w:sz w:val="16"/>
      <w:lang w:eastAsia="ar-SA" w:bidi="ar-SA"/>
    </w:rPr>
  </w:style>
  <w:style w:type="character" w:customStyle="1" w:styleId="TtuloChar">
    <w:name w:val="Título Char"/>
    <w:basedOn w:val="Fontepargpadro"/>
    <w:link w:val="Ttulo"/>
    <w:uiPriority w:val="99"/>
    <w:locked/>
    <w:rsid w:val="00A33772"/>
    <w:rPr>
      <w:rFonts w:ascii="Times New Roman" w:hAnsi="Times New Roman" w:cs="Times New Roman"/>
      <w:sz w:val="20"/>
      <w:szCs w:val="20"/>
      <w:lang w:eastAsia="ar-SA" w:bidi="ar-SA"/>
    </w:rPr>
  </w:style>
  <w:style w:type="character" w:customStyle="1" w:styleId="SubtitleChar">
    <w:name w:val="Subtitle Char"/>
    <w:uiPriority w:val="99"/>
    <w:locked/>
    <w:rsid w:val="00A33772"/>
    <w:rPr>
      <w:rFonts w:ascii="Cambria" w:hAnsi="Cambria"/>
      <w:i/>
      <w:color w:val="4F81BD"/>
      <w:spacing w:val="15"/>
      <w:sz w:val="24"/>
      <w:lang w:eastAsia="ar-SA" w:bidi="ar-SA"/>
    </w:rPr>
  </w:style>
  <w:style w:type="character" w:customStyle="1" w:styleId="LinkdaInternet">
    <w:name w:val="Link da Internet"/>
    <w:basedOn w:val="Fontepargpadro"/>
    <w:uiPriority w:val="99"/>
    <w:semiHidden/>
    <w:rsid w:val="00A33772"/>
    <w:rPr>
      <w:rFonts w:cs="Times New Roman"/>
      <w:color w:val="0000FF"/>
      <w:u w:val="single"/>
    </w:rPr>
  </w:style>
  <w:style w:type="character" w:styleId="HiperlinkVisitado">
    <w:name w:val="FollowedHyperlink"/>
    <w:basedOn w:val="Fontepargpadro"/>
    <w:uiPriority w:val="99"/>
    <w:semiHidden/>
    <w:rsid w:val="00A33772"/>
    <w:rPr>
      <w:rFonts w:cs="Times New Roman"/>
      <w:color w:val="800080"/>
      <w:u w:val="single"/>
    </w:rPr>
  </w:style>
  <w:style w:type="character" w:customStyle="1" w:styleId="BodyText3Char">
    <w:name w:val="Body Text 3 Char"/>
    <w:uiPriority w:val="99"/>
    <w:semiHidden/>
    <w:locked/>
    <w:rsid w:val="00A33772"/>
    <w:rPr>
      <w:rFonts w:ascii="Times New Roman" w:hAnsi="Times New Roman"/>
      <w:sz w:val="16"/>
      <w:lang w:eastAsia="ar-SA" w:bidi="ar-SA"/>
    </w:rPr>
  </w:style>
  <w:style w:type="character" w:customStyle="1" w:styleId="BodyTextChar">
    <w:name w:val="Body Text Char"/>
    <w:uiPriority w:val="99"/>
    <w:locked/>
    <w:rsid w:val="00A33772"/>
    <w:rPr>
      <w:rFonts w:ascii="Times New Roman" w:hAnsi="Times New Roman"/>
      <w:sz w:val="24"/>
      <w:lang w:eastAsia="ar-SA" w:bidi="ar-SA"/>
    </w:rPr>
  </w:style>
  <w:style w:type="paragraph" w:styleId="Ttulo">
    <w:name w:val="Title"/>
    <w:basedOn w:val="Normal"/>
    <w:next w:val="Corpodetexto"/>
    <w:link w:val="TtuloChar"/>
    <w:uiPriority w:val="99"/>
    <w:qFormat/>
    <w:rsid w:val="00A33772"/>
    <w:pPr>
      <w:jc w:val="center"/>
    </w:pPr>
    <w:rPr>
      <w:szCs w:val="20"/>
    </w:rPr>
  </w:style>
  <w:style w:type="character" w:customStyle="1" w:styleId="TitleChar1">
    <w:name w:val="Title Char1"/>
    <w:basedOn w:val="Fontepargpadro"/>
    <w:uiPriority w:val="99"/>
    <w:locked/>
    <w:rsid w:val="00F50213"/>
    <w:rPr>
      <w:rFonts w:ascii="Cambria" w:hAnsi="Cambria" w:cs="Times New Roman"/>
      <w:b/>
      <w:bCs/>
      <w:kern w:val="28"/>
      <w:sz w:val="32"/>
      <w:szCs w:val="32"/>
      <w:lang w:eastAsia="ar-SA" w:bidi="ar-SA"/>
    </w:rPr>
  </w:style>
  <w:style w:type="paragraph" w:styleId="Corpodetexto">
    <w:name w:val="Body Text"/>
    <w:basedOn w:val="Normal"/>
    <w:link w:val="CorpodetextoChar"/>
    <w:uiPriority w:val="99"/>
    <w:rsid w:val="00A33772"/>
    <w:pPr>
      <w:spacing w:after="120"/>
    </w:pPr>
    <w:rPr>
      <w:rFonts w:eastAsia="Calibri"/>
    </w:rPr>
  </w:style>
  <w:style w:type="character" w:customStyle="1" w:styleId="CorpodetextoChar">
    <w:name w:val="Corpo de texto Char"/>
    <w:basedOn w:val="Fontepargpadro"/>
    <w:link w:val="Corpodetexto"/>
    <w:uiPriority w:val="99"/>
    <w:semiHidden/>
    <w:locked/>
    <w:rsid w:val="00F50213"/>
    <w:rPr>
      <w:rFonts w:ascii="Times New Roman" w:hAnsi="Times New Roman" w:cs="Times New Roman"/>
      <w:sz w:val="24"/>
      <w:szCs w:val="24"/>
      <w:lang w:eastAsia="ar-SA" w:bidi="ar-SA"/>
    </w:rPr>
  </w:style>
  <w:style w:type="paragraph" w:styleId="Lista">
    <w:name w:val="List"/>
    <w:basedOn w:val="Corpodetexto"/>
    <w:uiPriority w:val="99"/>
    <w:rsid w:val="00715E92"/>
    <w:rPr>
      <w:rFonts w:cs="Mangal"/>
    </w:rPr>
  </w:style>
  <w:style w:type="paragraph" w:customStyle="1" w:styleId="Legenda1">
    <w:name w:val="Legenda1"/>
    <w:basedOn w:val="Normal"/>
    <w:uiPriority w:val="99"/>
    <w:rsid w:val="00715E92"/>
    <w:pPr>
      <w:suppressLineNumbers/>
      <w:spacing w:before="120" w:after="120"/>
    </w:pPr>
    <w:rPr>
      <w:rFonts w:cs="Mangal"/>
      <w:i/>
      <w:iCs/>
    </w:rPr>
  </w:style>
  <w:style w:type="paragraph" w:customStyle="1" w:styleId="ndice">
    <w:name w:val="Índice"/>
    <w:basedOn w:val="Normal"/>
    <w:uiPriority w:val="99"/>
    <w:rsid w:val="00715E92"/>
    <w:pPr>
      <w:suppressLineNumbers/>
    </w:pPr>
    <w:rPr>
      <w:rFonts w:cs="Mangal"/>
    </w:rPr>
  </w:style>
  <w:style w:type="paragraph" w:styleId="Recuodecorpodetexto">
    <w:name w:val="Body Text Indent"/>
    <w:basedOn w:val="Normal"/>
    <w:link w:val="RecuodecorpodetextoChar"/>
    <w:uiPriority w:val="99"/>
    <w:rsid w:val="00A33772"/>
    <w:pPr>
      <w:spacing w:after="120"/>
      <w:ind w:left="283"/>
    </w:pPr>
    <w:rPr>
      <w:rFonts w:eastAsia="Calibri"/>
    </w:rPr>
  </w:style>
  <w:style w:type="character" w:customStyle="1" w:styleId="RecuodecorpodetextoChar">
    <w:name w:val="Recuo de corpo de texto Char"/>
    <w:basedOn w:val="Fontepargpadro"/>
    <w:link w:val="Recuodecorpodetexto"/>
    <w:uiPriority w:val="99"/>
    <w:semiHidden/>
    <w:locked/>
    <w:rsid w:val="00F50213"/>
    <w:rPr>
      <w:rFonts w:ascii="Times New Roman" w:hAnsi="Times New Roman" w:cs="Times New Roman"/>
      <w:sz w:val="24"/>
      <w:szCs w:val="24"/>
      <w:lang w:eastAsia="ar-SA" w:bidi="ar-SA"/>
    </w:rPr>
  </w:style>
  <w:style w:type="paragraph" w:customStyle="1" w:styleId="CabealhoeRodap">
    <w:name w:val="Cabeçalho e Rodapé"/>
    <w:basedOn w:val="Normal"/>
    <w:uiPriority w:val="99"/>
    <w:rsid w:val="00715E92"/>
  </w:style>
  <w:style w:type="paragraph" w:customStyle="1" w:styleId="Cabealho1">
    <w:name w:val="Cabeçalho1"/>
    <w:basedOn w:val="Normal"/>
    <w:link w:val="CabealhoChar"/>
    <w:uiPriority w:val="99"/>
    <w:rsid w:val="00A33772"/>
    <w:pPr>
      <w:tabs>
        <w:tab w:val="center" w:pos="4419"/>
        <w:tab w:val="right" w:pos="8838"/>
      </w:tabs>
    </w:pPr>
  </w:style>
  <w:style w:type="paragraph" w:styleId="SemEspaamento">
    <w:name w:val="No Spacing"/>
    <w:uiPriority w:val="99"/>
    <w:qFormat/>
    <w:rsid w:val="00A33772"/>
    <w:pPr>
      <w:suppressAutoHyphens/>
    </w:pPr>
    <w:rPr>
      <w:rFonts w:ascii="Times New Roman" w:eastAsia="Times New Roman" w:hAnsi="Times New Roman"/>
      <w:sz w:val="24"/>
      <w:szCs w:val="24"/>
      <w:lang w:eastAsia="ar-SA"/>
    </w:rPr>
  </w:style>
  <w:style w:type="paragraph" w:customStyle="1" w:styleId="Contedodetabela">
    <w:name w:val="Conteúdo de tabela"/>
    <w:basedOn w:val="Normal"/>
    <w:uiPriority w:val="99"/>
    <w:rsid w:val="00A33772"/>
    <w:pPr>
      <w:suppressLineNumbers/>
    </w:pPr>
  </w:style>
  <w:style w:type="paragraph" w:customStyle="1" w:styleId="Contedodatabela">
    <w:name w:val="Conteúdo da tabela"/>
    <w:basedOn w:val="Normal"/>
    <w:uiPriority w:val="99"/>
    <w:rsid w:val="00715E92"/>
  </w:style>
  <w:style w:type="paragraph" w:customStyle="1" w:styleId="Ttulodetabela">
    <w:name w:val="Título de tabela"/>
    <w:basedOn w:val="Contedodetabela"/>
    <w:uiPriority w:val="99"/>
    <w:rsid w:val="00A33772"/>
    <w:pPr>
      <w:jc w:val="center"/>
    </w:pPr>
    <w:rPr>
      <w:b/>
      <w:bCs/>
    </w:rPr>
  </w:style>
  <w:style w:type="paragraph" w:styleId="Textodebalo">
    <w:name w:val="Balloon Text"/>
    <w:basedOn w:val="Normal"/>
    <w:link w:val="TextodebaloChar"/>
    <w:uiPriority w:val="99"/>
    <w:semiHidden/>
    <w:rsid w:val="00A33772"/>
    <w:rPr>
      <w:rFonts w:ascii="Tahoma" w:eastAsia="Calibri" w:hAnsi="Tahoma" w:cs="Tahoma"/>
      <w:sz w:val="16"/>
      <w:szCs w:val="16"/>
    </w:rPr>
  </w:style>
  <w:style w:type="character" w:customStyle="1" w:styleId="TextodebaloChar">
    <w:name w:val="Texto de balão Char"/>
    <w:basedOn w:val="Fontepargpadro"/>
    <w:link w:val="Textodebalo"/>
    <w:uiPriority w:val="99"/>
    <w:semiHidden/>
    <w:locked/>
    <w:rsid w:val="00F50213"/>
    <w:rPr>
      <w:rFonts w:ascii="Times New Roman" w:hAnsi="Times New Roman" w:cs="Times New Roman"/>
      <w:sz w:val="2"/>
      <w:lang w:eastAsia="ar-SA" w:bidi="ar-SA"/>
    </w:rPr>
  </w:style>
  <w:style w:type="paragraph" w:styleId="PargrafodaLista">
    <w:name w:val="List Paragraph"/>
    <w:basedOn w:val="Normal"/>
    <w:qFormat/>
    <w:rsid w:val="00A33772"/>
    <w:pPr>
      <w:ind w:left="720"/>
      <w:contextualSpacing/>
    </w:pPr>
  </w:style>
  <w:style w:type="paragraph" w:styleId="Subttulo">
    <w:name w:val="Subtitle"/>
    <w:basedOn w:val="Normal"/>
    <w:next w:val="Normal"/>
    <w:link w:val="SubttuloChar"/>
    <w:uiPriority w:val="99"/>
    <w:qFormat/>
    <w:rsid w:val="00A33772"/>
    <w:rPr>
      <w:rFonts w:ascii="Cambria" w:eastAsia="Calibri" w:hAnsi="Cambria"/>
      <w:i/>
      <w:iCs/>
      <w:color w:val="4F81BD"/>
      <w:spacing w:val="15"/>
    </w:rPr>
  </w:style>
  <w:style w:type="character" w:customStyle="1" w:styleId="SubttuloChar">
    <w:name w:val="Subtítulo Char"/>
    <w:basedOn w:val="Fontepargpadro"/>
    <w:link w:val="Subttulo"/>
    <w:uiPriority w:val="99"/>
    <w:locked/>
    <w:rsid w:val="00F50213"/>
    <w:rPr>
      <w:rFonts w:ascii="Cambria" w:hAnsi="Cambria" w:cs="Times New Roman"/>
      <w:sz w:val="24"/>
      <w:szCs w:val="24"/>
      <w:lang w:eastAsia="ar-SA" w:bidi="ar-SA"/>
    </w:rPr>
  </w:style>
  <w:style w:type="paragraph" w:customStyle="1" w:styleId="xl63">
    <w:name w:val="xl63"/>
    <w:basedOn w:val="Normal"/>
    <w:uiPriority w:val="99"/>
    <w:rsid w:val="00A33772"/>
    <w:pPr>
      <w:pBdr>
        <w:left w:val="single" w:sz="4" w:space="0" w:color="000000"/>
        <w:right w:val="single" w:sz="4" w:space="0" w:color="000000"/>
      </w:pBdr>
      <w:suppressAutoHyphens w:val="0"/>
      <w:spacing w:beforeAutospacing="1" w:afterAutospacing="1"/>
    </w:pPr>
    <w:rPr>
      <w:lang w:eastAsia="pt-BR"/>
    </w:rPr>
  </w:style>
  <w:style w:type="paragraph" w:customStyle="1" w:styleId="xl64">
    <w:name w:val="xl64"/>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pPr>
    <w:rPr>
      <w:lang w:eastAsia="pt-BR"/>
    </w:rPr>
  </w:style>
  <w:style w:type="paragraph" w:customStyle="1" w:styleId="xl65">
    <w:name w:val="xl65"/>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pPr>
    <w:rPr>
      <w:lang w:eastAsia="pt-BR"/>
    </w:rPr>
  </w:style>
  <w:style w:type="paragraph" w:customStyle="1" w:styleId="xl66">
    <w:name w:val="xl66"/>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67">
    <w:name w:val="xl67"/>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68">
    <w:name w:val="xl68"/>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69">
    <w:name w:val="xl69"/>
    <w:basedOn w:val="Normal"/>
    <w:uiPriority w:val="99"/>
    <w:rsid w:val="00A33772"/>
    <w:pPr>
      <w:pBdr>
        <w:top w:val="single" w:sz="8" w:space="0" w:color="000000"/>
        <w:left w:val="single" w:sz="8" w:space="0" w:color="000000"/>
        <w:bottom w:val="single" w:sz="8" w:space="0" w:color="000000"/>
        <w:right w:val="single" w:sz="8" w:space="0" w:color="000000"/>
      </w:pBdr>
      <w:shd w:val="clear" w:color="000000" w:fill="A5A5A5"/>
      <w:suppressAutoHyphens w:val="0"/>
      <w:spacing w:beforeAutospacing="1" w:afterAutospacing="1"/>
      <w:jc w:val="center"/>
    </w:pPr>
    <w:rPr>
      <w:rFonts w:ascii="Arial" w:hAnsi="Arial" w:cs="Arial"/>
      <w:b/>
      <w:bCs/>
      <w:color w:val="000000"/>
      <w:sz w:val="20"/>
      <w:szCs w:val="20"/>
      <w:lang w:eastAsia="pt-BR"/>
    </w:rPr>
  </w:style>
  <w:style w:type="paragraph" w:customStyle="1" w:styleId="xl70">
    <w:name w:val="xl70"/>
    <w:basedOn w:val="Normal"/>
    <w:uiPriority w:val="99"/>
    <w:rsid w:val="00A33772"/>
    <w:pPr>
      <w:pBdr>
        <w:top w:val="single" w:sz="8" w:space="0" w:color="000000"/>
        <w:left w:val="single" w:sz="8" w:space="0" w:color="000000"/>
        <w:bottom w:val="single" w:sz="8" w:space="0" w:color="000000"/>
        <w:right w:val="single" w:sz="8" w:space="0" w:color="000000"/>
      </w:pBdr>
      <w:shd w:val="clear" w:color="000000" w:fill="A5A5A5"/>
      <w:suppressAutoHyphens w:val="0"/>
      <w:spacing w:beforeAutospacing="1" w:afterAutospacing="1"/>
      <w:jc w:val="center"/>
    </w:pPr>
    <w:rPr>
      <w:b/>
      <w:bCs/>
      <w:lang w:eastAsia="pt-BR"/>
    </w:rPr>
  </w:style>
  <w:style w:type="paragraph" w:customStyle="1" w:styleId="xl71">
    <w:name w:val="xl71"/>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lang w:eastAsia="pt-BR"/>
    </w:rPr>
  </w:style>
  <w:style w:type="paragraph" w:customStyle="1" w:styleId="xl72">
    <w:name w:val="xl72"/>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73">
    <w:name w:val="xl73"/>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74">
    <w:name w:val="xl74"/>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t-BR"/>
    </w:rPr>
  </w:style>
  <w:style w:type="paragraph" w:customStyle="1" w:styleId="xl75">
    <w:name w:val="xl75"/>
    <w:basedOn w:val="Normal"/>
    <w:uiPriority w:val="99"/>
    <w:rsid w:val="00A33772"/>
    <w:pPr>
      <w:pBdr>
        <w:left w:val="single" w:sz="4" w:space="0" w:color="000000"/>
        <w:right w:val="single" w:sz="4" w:space="0" w:color="000000"/>
      </w:pBdr>
      <w:suppressAutoHyphens w:val="0"/>
      <w:spacing w:beforeAutospacing="1" w:afterAutospacing="1"/>
      <w:jc w:val="center"/>
    </w:pPr>
    <w:rPr>
      <w:lang w:eastAsia="pt-BR"/>
    </w:rPr>
  </w:style>
  <w:style w:type="paragraph" w:customStyle="1" w:styleId="xl76">
    <w:name w:val="xl76"/>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color w:val="FF0000"/>
      <w:lang w:eastAsia="pt-BR"/>
    </w:rPr>
  </w:style>
  <w:style w:type="paragraph" w:customStyle="1" w:styleId="xl77">
    <w:name w:val="xl77"/>
    <w:basedOn w:val="Normal"/>
    <w:uiPriority w:val="99"/>
    <w:rsid w:val="00A33772"/>
    <w:pPr>
      <w:pBdr>
        <w:left w:val="single" w:sz="4" w:space="0" w:color="000000"/>
        <w:right w:val="single" w:sz="4" w:space="0" w:color="000000"/>
      </w:pBdr>
      <w:suppressAutoHyphens w:val="0"/>
      <w:spacing w:beforeAutospacing="1" w:afterAutospacing="1"/>
      <w:jc w:val="center"/>
    </w:pPr>
    <w:rPr>
      <w:color w:val="FF0000"/>
      <w:lang w:eastAsia="pt-BR"/>
    </w:rPr>
  </w:style>
  <w:style w:type="paragraph" w:customStyle="1" w:styleId="xl78">
    <w:name w:val="xl78"/>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79">
    <w:name w:val="xl79"/>
    <w:basedOn w:val="Normal"/>
    <w:uiPriority w:val="99"/>
    <w:rsid w:val="00A33772"/>
    <w:pPr>
      <w:pBdr>
        <w:left w:val="single" w:sz="4" w:space="0" w:color="000000"/>
      </w:pBdr>
      <w:suppressAutoHyphens w:val="0"/>
      <w:spacing w:beforeAutospacing="1" w:afterAutospacing="1"/>
      <w:jc w:val="center"/>
    </w:pPr>
    <w:rPr>
      <w:lang w:eastAsia="pt-BR"/>
    </w:rPr>
  </w:style>
  <w:style w:type="paragraph" w:customStyle="1" w:styleId="xl80">
    <w:name w:val="xl80"/>
    <w:basedOn w:val="Normal"/>
    <w:uiPriority w:val="99"/>
    <w:rsid w:val="00A33772"/>
    <w:pPr>
      <w:pBdr>
        <w:left w:val="single" w:sz="4" w:space="0" w:color="000000"/>
        <w:right w:val="single" w:sz="4" w:space="0" w:color="000000"/>
      </w:pBdr>
      <w:suppressAutoHyphens w:val="0"/>
      <w:spacing w:beforeAutospacing="1" w:afterAutospacing="1"/>
      <w:jc w:val="center"/>
    </w:pPr>
    <w:rPr>
      <w:lang w:eastAsia="pt-BR"/>
    </w:rPr>
  </w:style>
  <w:style w:type="paragraph" w:customStyle="1" w:styleId="xl81">
    <w:name w:val="xl81"/>
    <w:basedOn w:val="Normal"/>
    <w:uiPriority w:val="99"/>
    <w:rsid w:val="00A33772"/>
    <w:pPr>
      <w:pBdr>
        <w:left w:val="single" w:sz="4" w:space="0" w:color="000000"/>
        <w:right w:val="single" w:sz="4" w:space="0" w:color="000000"/>
      </w:pBdr>
      <w:suppressAutoHyphens w:val="0"/>
      <w:spacing w:beforeAutospacing="1" w:afterAutospacing="1"/>
      <w:jc w:val="center"/>
    </w:pPr>
    <w:rPr>
      <w:lang w:eastAsia="pt-BR"/>
    </w:rPr>
  </w:style>
  <w:style w:type="paragraph" w:customStyle="1" w:styleId="xl82">
    <w:name w:val="xl82"/>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pPr>
    <w:rPr>
      <w:lang w:eastAsia="pt-BR"/>
    </w:rPr>
  </w:style>
  <w:style w:type="paragraph" w:customStyle="1" w:styleId="xl83">
    <w:name w:val="xl83"/>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pPr>
    <w:rPr>
      <w:lang w:eastAsia="pt-BR"/>
    </w:rPr>
  </w:style>
  <w:style w:type="paragraph" w:customStyle="1" w:styleId="xl84">
    <w:name w:val="xl84"/>
    <w:basedOn w:val="Normal"/>
    <w:uiPriority w:val="99"/>
    <w:rsid w:val="00A33772"/>
    <w:pPr>
      <w:pBdr>
        <w:left w:val="single" w:sz="4" w:space="0" w:color="000000"/>
        <w:right w:val="single" w:sz="4" w:space="0" w:color="000000"/>
      </w:pBdr>
      <w:suppressAutoHyphens w:val="0"/>
      <w:spacing w:beforeAutospacing="1" w:afterAutospacing="1"/>
    </w:pPr>
    <w:rPr>
      <w:lang w:eastAsia="pt-BR"/>
    </w:rPr>
  </w:style>
  <w:style w:type="paragraph" w:customStyle="1" w:styleId="xl85">
    <w:name w:val="xl85"/>
    <w:basedOn w:val="Normal"/>
    <w:uiPriority w:val="99"/>
    <w:rsid w:val="00A33772"/>
    <w:pPr>
      <w:pBdr>
        <w:left w:val="single" w:sz="4" w:space="0" w:color="000000"/>
        <w:right w:val="single" w:sz="4" w:space="0" w:color="000000"/>
      </w:pBdr>
      <w:suppressAutoHyphens w:val="0"/>
      <w:spacing w:beforeAutospacing="1" w:afterAutospacing="1"/>
    </w:pPr>
    <w:rPr>
      <w:color w:val="FF0000"/>
      <w:lang w:eastAsia="pt-BR"/>
    </w:rPr>
  </w:style>
  <w:style w:type="paragraph" w:customStyle="1" w:styleId="xl86">
    <w:name w:val="xl86"/>
    <w:basedOn w:val="Normal"/>
    <w:uiPriority w:val="99"/>
    <w:rsid w:val="00A33772"/>
    <w:pPr>
      <w:suppressAutoHyphens w:val="0"/>
      <w:spacing w:beforeAutospacing="1" w:afterAutospacing="1"/>
      <w:jc w:val="center"/>
    </w:pPr>
    <w:rPr>
      <w:lang w:eastAsia="pt-BR"/>
    </w:rPr>
  </w:style>
  <w:style w:type="paragraph" w:customStyle="1" w:styleId="xl87">
    <w:name w:val="xl87"/>
    <w:basedOn w:val="Normal"/>
    <w:uiPriority w:val="99"/>
    <w:rsid w:val="00A33772"/>
    <w:pPr>
      <w:pBdr>
        <w:top w:val="single" w:sz="4" w:space="0" w:color="000000"/>
        <w:right w:val="single" w:sz="4" w:space="0" w:color="000000"/>
      </w:pBdr>
      <w:suppressAutoHyphens w:val="0"/>
      <w:spacing w:beforeAutospacing="1" w:afterAutospacing="1"/>
      <w:jc w:val="center"/>
    </w:pPr>
    <w:rPr>
      <w:color w:val="000000"/>
      <w:lang w:eastAsia="pt-BR"/>
    </w:rPr>
  </w:style>
  <w:style w:type="paragraph" w:customStyle="1" w:styleId="xl88">
    <w:name w:val="xl88"/>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lang w:eastAsia="pt-BR"/>
    </w:rPr>
  </w:style>
  <w:style w:type="paragraph" w:customStyle="1" w:styleId="xl89">
    <w:name w:val="xl89"/>
    <w:basedOn w:val="Normal"/>
    <w:uiPriority w:val="99"/>
    <w:rsid w:val="00A33772"/>
    <w:pPr>
      <w:pBdr>
        <w:left w:val="single" w:sz="4" w:space="0" w:color="000000"/>
        <w:right w:val="single" w:sz="4" w:space="0" w:color="000000"/>
      </w:pBdr>
      <w:suppressAutoHyphens w:val="0"/>
      <w:spacing w:beforeAutospacing="1" w:afterAutospacing="1"/>
      <w:jc w:val="center"/>
    </w:pPr>
    <w:rPr>
      <w:lang w:eastAsia="pt-BR"/>
    </w:rPr>
  </w:style>
  <w:style w:type="paragraph" w:customStyle="1" w:styleId="xl90">
    <w:name w:val="xl90"/>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91">
    <w:name w:val="xl91"/>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lang w:eastAsia="pt-BR"/>
    </w:rPr>
  </w:style>
  <w:style w:type="paragraph" w:customStyle="1" w:styleId="xl92">
    <w:name w:val="xl92"/>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93">
    <w:name w:val="xl93"/>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94">
    <w:name w:val="xl94"/>
    <w:basedOn w:val="Normal"/>
    <w:uiPriority w:val="99"/>
    <w:rsid w:val="00A33772"/>
    <w:pPr>
      <w:pBdr>
        <w:top w:val="single" w:sz="8" w:space="0" w:color="000000"/>
        <w:left w:val="single" w:sz="8" w:space="0" w:color="000000"/>
        <w:right w:val="single" w:sz="8" w:space="0" w:color="000000"/>
      </w:pBdr>
      <w:shd w:val="clear" w:color="000000" w:fill="A5A5A5"/>
      <w:suppressAutoHyphens w:val="0"/>
      <w:spacing w:beforeAutospacing="1" w:afterAutospacing="1"/>
      <w:jc w:val="center"/>
    </w:pPr>
    <w:rPr>
      <w:b/>
      <w:bCs/>
      <w:color w:val="000000"/>
      <w:sz w:val="20"/>
      <w:szCs w:val="20"/>
      <w:lang w:eastAsia="pt-BR"/>
    </w:rPr>
  </w:style>
  <w:style w:type="paragraph" w:customStyle="1" w:styleId="xl95">
    <w:name w:val="xl95"/>
    <w:basedOn w:val="Normal"/>
    <w:uiPriority w:val="99"/>
    <w:rsid w:val="00A33772"/>
    <w:pPr>
      <w:pBdr>
        <w:top w:val="single" w:sz="8" w:space="0" w:color="000000"/>
        <w:left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96">
    <w:name w:val="xl96"/>
    <w:basedOn w:val="Normal"/>
    <w:uiPriority w:val="99"/>
    <w:rsid w:val="00A33772"/>
    <w:pPr>
      <w:pBdr>
        <w:left w:val="single" w:sz="4" w:space="0" w:color="000000"/>
        <w:right w:val="single" w:sz="4" w:space="0" w:color="000000"/>
      </w:pBdr>
      <w:suppressAutoHyphens w:val="0"/>
      <w:spacing w:beforeAutospacing="1" w:afterAutospacing="1"/>
      <w:jc w:val="center"/>
    </w:pPr>
    <w:rPr>
      <w:color w:val="FF0000"/>
      <w:sz w:val="20"/>
      <w:szCs w:val="20"/>
      <w:lang w:eastAsia="pt-BR"/>
    </w:rPr>
  </w:style>
  <w:style w:type="paragraph" w:customStyle="1" w:styleId="xl97">
    <w:name w:val="xl97"/>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98">
    <w:name w:val="xl98"/>
    <w:basedOn w:val="Normal"/>
    <w:uiPriority w:val="99"/>
    <w:rsid w:val="00A33772"/>
    <w:pPr>
      <w:pBdr>
        <w:left w:val="single" w:sz="4" w:space="0" w:color="000000"/>
        <w:bottom w:val="single" w:sz="4" w:space="0" w:color="000000"/>
      </w:pBdr>
      <w:shd w:val="clear" w:color="000000" w:fill="FFFFFF"/>
      <w:suppressAutoHyphens w:val="0"/>
      <w:spacing w:beforeAutospacing="1" w:afterAutospacing="1"/>
      <w:jc w:val="center"/>
    </w:pPr>
    <w:rPr>
      <w:b/>
      <w:bCs/>
      <w:color w:val="000000"/>
      <w:sz w:val="20"/>
      <w:szCs w:val="20"/>
      <w:lang w:eastAsia="pt-BR"/>
    </w:rPr>
  </w:style>
  <w:style w:type="paragraph" w:customStyle="1" w:styleId="xl99">
    <w:name w:val="xl99"/>
    <w:basedOn w:val="Normal"/>
    <w:uiPriority w:val="99"/>
    <w:rsid w:val="00A33772"/>
    <w:pPr>
      <w:pBdr>
        <w:top w:val="single" w:sz="4" w:space="0" w:color="000000"/>
        <w:left w:val="single" w:sz="4" w:space="0" w:color="000000"/>
      </w:pBdr>
      <w:shd w:val="clear" w:color="000000" w:fill="FFFFFF"/>
      <w:suppressAutoHyphens w:val="0"/>
      <w:spacing w:beforeAutospacing="1" w:afterAutospacing="1"/>
      <w:jc w:val="center"/>
    </w:pPr>
    <w:rPr>
      <w:color w:val="000000"/>
      <w:sz w:val="20"/>
      <w:szCs w:val="20"/>
      <w:lang w:eastAsia="pt-BR"/>
    </w:rPr>
  </w:style>
  <w:style w:type="paragraph" w:customStyle="1" w:styleId="xl100">
    <w:name w:val="xl100"/>
    <w:basedOn w:val="Normal"/>
    <w:uiPriority w:val="99"/>
    <w:rsid w:val="00A33772"/>
    <w:pPr>
      <w:pBdr>
        <w:left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01">
    <w:name w:val="xl101"/>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02">
    <w:name w:val="xl102"/>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03">
    <w:name w:val="xl103"/>
    <w:basedOn w:val="Normal"/>
    <w:uiPriority w:val="99"/>
    <w:rsid w:val="00A33772"/>
    <w:pPr>
      <w:pBdr>
        <w:left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04">
    <w:name w:val="xl104"/>
    <w:basedOn w:val="Normal"/>
    <w:uiPriority w:val="99"/>
    <w:rsid w:val="00A33772"/>
    <w:pPr>
      <w:pBdr>
        <w:left w:val="single" w:sz="4" w:space="0" w:color="000000"/>
        <w:bottom w:val="single" w:sz="4" w:space="0" w:color="000000"/>
      </w:pBdr>
      <w:shd w:val="clear" w:color="000000" w:fill="FFFFFF"/>
      <w:suppressAutoHyphens w:val="0"/>
      <w:spacing w:beforeAutospacing="1" w:afterAutospacing="1"/>
      <w:jc w:val="center"/>
    </w:pPr>
    <w:rPr>
      <w:color w:val="000000"/>
      <w:sz w:val="20"/>
      <w:szCs w:val="20"/>
      <w:lang w:eastAsia="pt-BR"/>
    </w:rPr>
  </w:style>
  <w:style w:type="paragraph" w:customStyle="1" w:styleId="xl105">
    <w:name w:val="xl105"/>
    <w:basedOn w:val="Normal"/>
    <w:uiPriority w:val="99"/>
    <w:rsid w:val="00A33772"/>
    <w:pPr>
      <w:pBdr>
        <w:top w:val="single" w:sz="4" w:space="0" w:color="000000"/>
      </w:pBdr>
      <w:shd w:val="clear" w:color="000000" w:fill="FFFFFF"/>
      <w:suppressAutoHyphens w:val="0"/>
      <w:spacing w:beforeAutospacing="1" w:afterAutospacing="1"/>
    </w:pPr>
    <w:rPr>
      <w:lang w:eastAsia="pt-BR"/>
    </w:rPr>
  </w:style>
  <w:style w:type="paragraph" w:customStyle="1" w:styleId="xl106">
    <w:name w:val="xl106"/>
    <w:basedOn w:val="Normal"/>
    <w:uiPriority w:val="99"/>
    <w:rsid w:val="00A33772"/>
    <w:pPr>
      <w:pBdr>
        <w:top w:val="single" w:sz="4" w:space="0" w:color="000000"/>
        <w:left w:val="single" w:sz="4" w:space="0" w:color="000000"/>
        <w:right w:val="single" w:sz="4" w:space="0" w:color="000000"/>
      </w:pBdr>
      <w:shd w:val="clear" w:color="000000" w:fill="FFFFFF"/>
      <w:suppressAutoHyphens w:val="0"/>
      <w:spacing w:beforeAutospacing="1" w:afterAutospacing="1"/>
      <w:jc w:val="center"/>
    </w:pPr>
    <w:rPr>
      <w:b/>
      <w:bCs/>
      <w:color w:val="FF0000"/>
      <w:lang w:eastAsia="pt-BR"/>
    </w:rPr>
  </w:style>
  <w:style w:type="paragraph" w:customStyle="1" w:styleId="xl107">
    <w:name w:val="xl107"/>
    <w:basedOn w:val="Normal"/>
    <w:uiPriority w:val="99"/>
    <w:rsid w:val="00A33772"/>
    <w:pPr>
      <w:pBdr>
        <w:top w:val="single" w:sz="4" w:space="0" w:color="000000"/>
        <w:left w:val="single" w:sz="4" w:space="0" w:color="000000"/>
        <w:right w:val="single" w:sz="4" w:space="0" w:color="000000"/>
      </w:pBdr>
      <w:shd w:val="clear" w:color="000000" w:fill="FFFFFF"/>
      <w:suppressAutoHyphens w:val="0"/>
      <w:spacing w:beforeAutospacing="1" w:afterAutospacing="1"/>
      <w:jc w:val="center"/>
    </w:pPr>
    <w:rPr>
      <w:color w:val="FF0000"/>
      <w:sz w:val="20"/>
      <w:szCs w:val="20"/>
      <w:lang w:eastAsia="pt-BR"/>
    </w:rPr>
  </w:style>
  <w:style w:type="paragraph" w:customStyle="1" w:styleId="xl108">
    <w:name w:val="xl108"/>
    <w:basedOn w:val="Normal"/>
    <w:uiPriority w:val="99"/>
    <w:rsid w:val="00A33772"/>
    <w:pPr>
      <w:pBdr>
        <w:top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09">
    <w:name w:val="xl109"/>
    <w:basedOn w:val="Normal"/>
    <w:uiPriority w:val="99"/>
    <w:rsid w:val="00A33772"/>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10">
    <w:name w:val="xl110"/>
    <w:basedOn w:val="Normal"/>
    <w:uiPriority w:val="99"/>
    <w:rsid w:val="00A33772"/>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11">
    <w:name w:val="xl111"/>
    <w:basedOn w:val="Normal"/>
    <w:uiPriority w:val="99"/>
    <w:rsid w:val="00A33772"/>
    <w:pPr>
      <w:pBdr>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12">
    <w:name w:val="xl112"/>
    <w:basedOn w:val="Normal"/>
    <w:uiPriority w:val="99"/>
    <w:rsid w:val="00A33772"/>
    <w:pPr>
      <w:pBdr>
        <w:left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13">
    <w:name w:val="xl113"/>
    <w:basedOn w:val="Normal"/>
    <w:uiPriority w:val="99"/>
    <w:rsid w:val="00A33772"/>
    <w:pPr>
      <w:pBdr>
        <w:left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14">
    <w:name w:val="xl114"/>
    <w:basedOn w:val="Normal"/>
    <w:uiPriority w:val="99"/>
    <w:rsid w:val="00A33772"/>
    <w:pPr>
      <w:pBdr>
        <w:top w:val="single" w:sz="4" w:space="0" w:color="000000"/>
        <w:left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15">
    <w:name w:val="xl115"/>
    <w:basedOn w:val="Normal"/>
    <w:uiPriority w:val="99"/>
    <w:rsid w:val="00A33772"/>
    <w:pPr>
      <w:pBdr>
        <w:top w:val="single" w:sz="4" w:space="0" w:color="000000"/>
        <w:left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16">
    <w:name w:val="xl116"/>
    <w:basedOn w:val="Normal"/>
    <w:uiPriority w:val="99"/>
    <w:rsid w:val="00A3377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17">
    <w:name w:val="xl117"/>
    <w:basedOn w:val="Normal"/>
    <w:uiPriority w:val="99"/>
    <w:rsid w:val="00A3377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18">
    <w:name w:val="xl118"/>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19">
    <w:name w:val="xl119"/>
    <w:basedOn w:val="Normal"/>
    <w:uiPriority w:val="99"/>
    <w:rsid w:val="00A33772"/>
    <w:pPr>
      <w:pBdr>
        <w:top w:val="single" w:sz="4" w:space="0" w:color="000000"/>
        <w:left w:val="single" w:sz="4" w:space="0" w:color="000000"/>
        <w:bottom w:val="single" w:sz="4" w:space="0" w:color="000000"/>
      </w:pBdr>
      <w:shd w:val="clear" w:color="000000" w:fill="FFFFFF"/>
      <w:suppressAutoHyphens w:val="0"/>
      <w:spacing w:beforeAutospacing="1" w:afterAutospacing="1"/>
      <w:jc w:val="center"/>
    </w:pPr>
    <w:rPr>
      <w:color w:val="000000"/>
      <w:sz w:val="20"/>
      <w:szCs w:val="20"/>
      <w:lang w:eastAsia="pt-BR"/>
    </w:rPr>
  </w:style>
  <w:style w:type="paragraph" w:customStyle="1" w:styleId="xl120">
    <w:name w:val="xl120"/>
    <w:basedOn w:val="Normal"/>
    <w:uiPriority w:val="99"/>
    <w:rsid w:val="00A33772"/>
    <w:pPr>
      <w:pBdr>
        <w:top w:val="single" w:sz="4" w:space="0" w:color="000000"/>
        <w:left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21">
    <w:name w:val="xl121"/>
    <w:basedOn w:val="Normal"/>
    <w:uiPriority w:val="99"/>
    <w:rsid w:val="00A3377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22">
    <w:name w:val="xl122"/>
    <w:basedOn w:val="Normal"/>
    <w:uiPriority w:val="99"/>
    <w:rsid w:val="00A3377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23">
    <w:name w:val="xl123"/>
    <w:basedOn w:val="Normal"/>
    <w:uiPriority w:val="99"/>
    <w:rsid w:val="00A33772"/>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eastAsia="pt-BR"/>
    </w:rPr>
  </w:style>
  <w:style w:type="paragraph" w:customStyle="1" w:styleId="xl124">
    <w:name w:val="xl124"/>
    <w:basedOn w:val="Normal"/>
    <w:uiPriority w:val="99"/>
    <w:rsid w:val="00A33772"/>
    <w:pPr>
      <w:pBdr>
        <w:top w:val="single" w:sz="4" w:space="0" w:color="000000"/>
        <w:left w:val="single" w:sz="4" w:space="0" w:color="000000"/>
        <w:bottom w:val="single" w:sz="4" w:space="0" w:color="000000"/>
      </w:pBdr>
      <w:shd w:val="clear" w:color="000000" w:fill="FFFFFF"/>
      <w:suppressAutoHyphens w:val="0"/>
      <w:spacing w:beforeAutospacing="1" w:afterAutospacing="1"/>
      <w:jc w:val="center"/>
    </w:pPr>
    <w:rPr>
      <w:color w:val="000000"/>
      <w:sz w:val="20"/>
      <w:szCs w:val="20"/>
      <w:lang w:eastAsia="pt-BR"/>
    </w:rPr>
  </w:style>
  <w:style w:type="paragraph" w:customStyle="1" w:styleId="xl125">
    <w:name w:val="xl125"/>
    <w:basedOn w:val="Normal"/>
    <w:uiPriority w:val="99"/>
    <w:rsid w:val="00A33772"/>
    <w:pPr>
      <w:pBdr>
        <w:left w:val="single" w:sz="4" w:space="0" w:color="000000"/>
        <w:right w:val="single" w:sz="4" w:space="0" w:color="000000"/>
      </w:pBdr>
      <w:suppressAutoHyphens w:val="0"/>
      <w:spacing w:beforeAutospacing="1" w:afterAutospacing="1"/>
      <w:jc w:val="center"/>
    </w:pPr>
    <w:rPr>
      <w:lang w:eastAsia="pt-BR"/>
    </w:rPr>
  </w:style>
  <w:style w:type="paragraph" w:customStyle="1" w:styleId="xl126">
    <w:name w:val="xl126"/>
    <w:basedOn w:val="Normal"/>
    <w:uiPriority w:val="99"/>
    <w:rsid w:val="00A33772"/>
    <w:pPr>
      <w:pBdr>
        <w:left w:val="single" w:sz="4" w:space="0" w:color="000000"/>
        <w:bottom w:val="single" w:sz="4" w:space="0" w:color="000000"/>
        <w:right w:val="single" w:sz="4" w:space="0" w:color="000000"/>
      </w:pBdr>
      <w:suppressAutoHyphens w:val="0"/>
      <w:spacing w:beforeAutospacing="1" w:afterAutospacing="1"/>
      <w:jc w:val="center"/>
    </w:pPr>
    <w:rPr>
      <w:lang w:eastAsia="pt-BR"/>
    </w:rPr>
  </w:style>
  <w:style w:type="paragraph" w:customStyle="1" w:styleId="xl127">
    <w:name w:val="xl127"/>
    <w:basedOn w:val="Normal"/>
    <w:uiPriority w:val="99"/>
    <w:rsid w:val="00A33772"/>
    <w:pPr>
      <w:pBdr>
        <w:top w:val="single" w:sz="4" w:space="0" w:color="000000"/>
        <w:left w:val="single" w:sz="4" w:space="0" w:color="000000"/>
        <w:right w:val="single" w:sz="4" w:space="0" w:color="000000"/>
      </w:pBdr>
      <w:suppressAutoHyphens w:val="0"/>
      <w:spacing w:beforeAutospacing="1" w:afterAutospacing="1"/>
      <w:jc w:val="center"/>
    </w:pPr>
    <w:rPr>
      <w:lang w:eastAsia="pt-BR"/>
    </w:rPr>
  </w:style>
  <w:style w:type="paragraph" w:customStyle="1" w:styleId="xl128">
    <w:name w:val="xl128"/>
    <w:basedOn w:val="Normal"/>
    <w:uiPriority w:val="99"/>
    <w:rsid w:val="00A33772"/>
    <w:pPr>
      <w:pBdr>
        <w:bottom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customStyle="1" w:styleId="xl129">
    <w:name w:val="xl129"/>
    <w:basedOn w:val="Normal"/>
    <w:uiPriority w:val="99"/>
    <w:rsid w:val="00A33772"/>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lang w:eastAsia="pt-BR"/>
    </w:rPr>
  </w:style>
  <w:style w:type="paragraph" w:customStyle="1" w:styleId="xl130">
    <w:name w:val="xl130"/>
    <w:basedOn w:val="Normal"/>
    <w:uiPriority w:val="99"/>
    <w:rsid w:val="00A33772"/>
    <w:pPr>
      <w:pBdr>
        <w:top w:val="single" w:sz="4" w:space="0" w:color="000000"/>
        <w:bottom w:val="single" w:sz="4" w:space="0" w:color="000000"/>
        <w:right w:val="single" w:sz="4" w:space="0" w:color="000000"/>
      </w:pBdr>
      <w:shd w:val="clear" w:color="000000" w:fill="FFFFFF"/>
      <w:suppressAutoHyphens w:val="0"/>
      <w:spacing w:beforeAutospacing="1" w:afterAutospacing="1"/>
      <w:jc w:val="center"/>
    </w:pPr>
    <w:rPr>
      <w:sz w:val="20"/>
      <w:szCs w:val="20"/>
      <w:lang w:eastAsia="pt-BR"/>
    </w:rPr>
  </w:style>
  <w:style w:type="paragraph" w:styleId="Corpodetexto3">
    <w:name w:val="Body Text 3"/>
    <w:basedOn w:val="Normal"/>
    <w:link w:val="Corpodetexto3Char"/>
    <w:uiPriority w:val="99"/>
    <w:semiHidden/>
    <w:rsid w:val="00A33772"/>
    <w:pPr>
      <w:spacing w:after="120"/>
    </w:pPr>
    <w:rPr>
      <w:rFonts w:eastAsia="Calibri"/>
      <w:sz w:val="16"/>
      <w:szCs w:val="16"/>
    </w:rPr>
  </w:style>
  <w:style w:type="character" w:customStyle="1" w:styleId="Corpodetexto3Char">
    <w:name w:val="Corpo de texto 3 Char"/>
    <w:basedOn w:val="Fontepargpadro"/>
    <w:link w:val="Corpodetexto3"/>
    <w:uiPriority w:val="99"/>
    <w:semiHidden/>
    <w:locked/>
    <w:rsid w:val="00F50213"/>
    <w:rPr>
      <w:rFonts w:ascii="Times New Roman" w:hAnsi="Times New Roman" w:cs="Times New Roman"/>
      <w:sz w:val="16"/>
      <w:szCs w:val="16"/>
      <w:lang w:eastAsia="ar-SA" w:bidi="ar-SA"/>
    </w:rPr>
  </w:style>
  <w:style w:type="table" w:styleId="Tabelacomgrade">
    <w:name w:val="Table Grid"/>
    <w:basedOn w:val="Tabelanormal"/>
    <w:uiPriority w:val="99"/>
    <w:rsid w:val="00A3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C83AAE"/>
    <w:pPr>
      <w:suppressAutoHyphens w:val="0"/>
      <w:spacing w:before="100" w:beforeAutospacing="1" w:after="119"/>
    </w:pPr>
    <w:rPr>
      <w:lang w:eastAsia="pt-BR"/>
    </w:rPr>
  </w:style>
  <w:style w:type="character" w:styleId="Hyperlink">
    <w:name w:val="Hyperlink"/>
    <w:basedOn w:val="Fontepargpadro"/>
    <w:uiPriority w:val="99"/>
    <w:semiHidden/>
    <w:rsid w:val="009113F9"/>
    <w:rPr>
      <w:rFonts w:cs="Times New Roman"/>
      <w:color w:val="0563C1"/>
      <w:u w:val="single"/>
    </w:rPr>
  </w:style>
  <w:style w:type="paragraph" w:styleId="Cabealho">
    <w:name w:val="header"/>
    <w:basedOn w:val="Normal"/>
    <w:link w:val="CabealhoChar1"/>
    <w:uiPriority w:val="99"/>
    <w:locked/>
    <w:rsid w:val="005041E8"/>
    <w:pPr>
      <w:tabs>
        <w:tab w:val="center" w:pos="4252"/>
        <w:tab w:val="right" w:pos="8504"/>
      </w:tabs>
    </w:pPr>
  </w:style>
  <w:style w:type="character" w:customStyle="1" w:styleId="CabealhoChar1">
    <w:name w:val="Cabeçalho Char1"/>
    <w:basedOn w:val="Fontepargpadro"/>
    <w:link w:val="Cabealho"/>
    <w:uiPriority w:val="99"/>
    <w:locked/>
    <w:rsid w:val="005041E8"/>
    <w:rPr>
      <w:rFonts w:ascii="Times New Roman" w:hAnsi="Times New Roman" w:cs="Times New Roman"/>
      <w:sz w:val="24"/>
      <w:szCs w:val="24"/>
      <w:lang w:eastAsia="ar-SA" w:bidi="ar-SA"/>
    </w:rPr>
  </w:style>
  <w:style w:type="paragraph" w:styleId="Rodap">
    <w:name w:val="footer"/>
    <w:basedOn w:val="Normal"/>
    <w:link w:val="RodapChar"/>
    <w:uiPriority w:val="99"/>
    <w:semiHidden/>
    <w:rsid w:val="005041E8"/>
    <w:pPr>
      <w:tabs>
        <w:tab w:val="center" w:pos="4252"/>
        <w:tab w:val="right" w:pos="8504"/>
      </w:tabs>
    </w:pPr>
  </w:style>
  <w:style w:type="character" w:customStyle="1" w:styleId="RodapChar">
    <w:name w:val="Rodapé Char"/>
    <w:basedOn w:val="Fontepargpadro"/>
    <w:link w:val="Rodap"/>
    <w:uiPriority w:val="99"/>
    <w:semiHidden/>
    <w:locked/>
    <w:rsid w:val="005041E8"/>
    <w:rPr>
      <w:rFonts w:ascii="Times New Roman" w:hAnsi="Times New Roman" w:cs="Times New Roman"/>
      <w:sz w:val="24"/>
      <w:szCs w:val="24"/>
      <w:lang w:eastAsia="ar-SA" w:bidi="ar-SA"/>
    </w:rPr>
  </w:style>
  <w:style w:type="paragraph" w:styleId="NormalWeb">
    <w:name w:val="Normal (Web)"/>
    <w:basedOn w:val="Normal"/>
    <w:rsid w:val="002B7CDB"/>
    <w:pPr>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7477">
      <w:bodyDiv w:val="1"/>
      <w:marLeft w:val="0"/>
      <w:marRight w:val="0"/>
      <w:marTop w:val="0"/>
      <w:marBottom w:val="0"/>
      <w:divBdr>
        <w:top w:val="none" w:sz="0" w:space="0" w:color="auto"/>
        <w:left w:val="none" w:sz="0" w:space="0" w:color="auto"/>
        <w:bottom w:val="none" w:sz="0" w:space="0" w:color="auto"/>
        <w:right w:val="none" w:sz="0" w:space="0" w:color="auto"/>
      </w:divBdr>
    </w:div>
    <w:div w:id="63181956">
      <w:bodyDiv w:val="1"/>
      <w:marLeft w:val="0"/>
      <w:marRight w:val="0"/>
      <w:marTop w:val="0"/>
      <w:marBottom w:val="0"/>
      <w:divBdr>
        <w:top w:val="none" w:sz="0" w:space="0" w:color="auto"/>
        <w:left w:val="none" w:sz="0" w:space="0" w:color="auto"/>
        <w:bottom w:val="none" w:sz="0" w:space="0" w:color="auto"/>
        <w:right w:val="none" w:sz="0" w:space="0" w:color="auto"/>
      </w:divBdr>
    </w:div>
    <w:div w:id="410198593">
      <w:marLeft w:val="0"/>
      <w:marRight w:val="0"/>
      <w:marTop w:val="0"/>
      <w:marBottom w:val="0"/>
      <w:divBdr>
        <w:top w:val="none" w:sz="0" w:space="0" w:color="auto"/>
        <w:left w:val="none" w:sz="0" w:space="0" w:color="auto"/>
        <w:bottom w:val="none" w:sz="0" w:space="0" w:color="auto"/>
        <w:right w:val="none" w:sz="0" w:space="0" w:color="auto"/>
      </w:divBdr>
    </w:div>
    <w:div w:id="410198594">
      <w:marLeft w:val="0"/>
      <w:marRight w:val="0"/>
      <w:marTop w:val="0"/>
      <w:marBottom w:val="0"/>
      <w:divBdr>
        <w:top w:val="none" w:sz="0" w:space="0" w:color="auto"/>
        <w:left w:val="none" w:sz="0" w:space="0" w:color="auto"/>
        <w:bottom w:val="none" w:sz="0" w:space="0" w:color="auto"/>
        <w:right w:val="none" w:sz="0" w:space="0" w:color="auto"/>
      </w:divBdr>
    </w:div>
    <w:div w:id="410198595">
      <w:marLeft w:val="0"/>
      <w:marRight w:val="0"/>
      <w:marTop w:val="0"/>
      <w:marBottom w:val="0"/>
      <w:divBdr>
        <w:top w:val="none" w:sz="0" w:space="0" w:color="auto"/>
        <w:left w:val="none" w:sz="0" w:space="0" w:color="auto"/>
        <w:bottom w:val="none" w:sz="0" w:space="0" w:color="auto"/>
        <w:right w:val="none" w:sz="0" w:space="0" w:color="auto"/>
      </w:divBdr>
    </w:div>
    <w:div w:id="410198596">
      <w:marLeft w:val="0"/>
      <w:marRight w:val="0"/>
      <w:marTop w:val="0"/>
      <w:marBottom w:val="0"/>
      <w:divBdr>
        <w:top w:val="none" w:sz="0" w:space="0" w:color="auto"/>
        <w:left w:val="none" w:sz="0" w:space="0" w:color="auto"/>
        <w:bottom w:val="none" w:sz="0" w:space="0" w:color="auto"/>
        <w:right w:val="none" w:sz="0" w:space="0" w:color="auto"/>
      </w:divBdr>
    </w:div>
    <w:div w:id="410198597">
      <w:marLeft w:val="0"/>
      <w:marRight w:val="0"/>
      <w:marTop w:val="0"/>
      <w:marBottom w:val="0"/>
      <w:divBdr>
        <w:top w:val="none" w:sz="0" w:space="0" w:color="auto"/>
        <w:left w:val="none" w:sz="0" w:space="0" w:color="auto"/>
        <w:bottom w:val="none" w:sz="0" w:space="0" w:color="auto"/>
        <w:right w:val="none" w:sz="0" w:space="0" w:color="auto"/>
      </w:divBdr>
    </w:div>
    <w:div w:id="410198598">
      <w:marLeft w:val="0"/>
      <w:marRight w:val="0"/>
      <w:marTop w:val="0"/>
      <w:marBottom w:val="0"/>
      <w:divBdr>
        <w:top w:val="none" w:sz="0" w:space="0" w:color="auto"/>
        <w:left w:val="none" w:sz="0" w:space="0" w:color="auto"/>
        <w:bottom w:val="none" w:sz="0" w:space="0" w:color="auto"/>
        <w:right w:val="none" w:sz="0" w:space="0" w:color="auto"/>
      </w:divBdr>
    </w:div>
    <w:div w:id="410198599">
      <w:marLeft w:val="0"/>
      <w:marRight w:val="0"/>
      <w:marTop w:val="0"/>
      <w:marBottom w:val="0"/>
      <w:divBdr>
        <w:top w:val="none" w:sz="0" w:space="0" w:color="auto"/>
        <w:left w:val="none" w:sz="0" w:space="0" w:color="auto"/>
        <w:bottom w:val="none" w:sz="0" w:space="0" w:color="auto"/>
        <w:right w:val="none" w:sz="0" w:space="0" w:color="auto"/>
      </w:divBdr>
    </w:div>
    <w:div w:id="410198601">
      <w:marLeft w:val="0"/>
      <w:marRight w:val="0"/>
      <w:marTop w:val="0"/>
      <w:marBottom w:val="0"/>
      <w:divBdr>
        <w:top w:val="none" w:sz="0" w:space="0" w:color="auto"/>
        <w:left w:val="none" w:sz="0" w:space="0" w:color="auto"/>
        <w:bottom w:val="none" w:sz="0" w:space="0" w:color="auto"/>
        <w:right w:val="none" w:sz="0" w:space="0" w:color="auto"/>
      </w:divBdr>
    </w:div>
    <w:div w:id="410198602">
      <w:marLeft w:val="0"/>
      <w:marRight w:val="0"/>
      <w:marTop w:val="0"/>
      <w:marBottom w:val="0"/>
      <w:divBdr>
        <w:top w:val="none" w:sz="0" w:space="0" w:color="auto"/>
        <w:left w:val="none" w:sz="0" w:space="0" w:color="auto"/>
        <w:bottom w:val="none" w:sz="0" w:space="0" w:color="auto"/>
        <w:right w:val="none" w:sz="0" w:space="0" w:color="auto"/>
      </w:divBdr>
    </w:div>
    <w:div w:id="410198603">
      <w:marLeft w:val="0"/>
      <w:marRight w:val="0"/>
      <w:marTop w:val="0"/>
      <w:marBottom w:val="0"/>
      <w:divBdr>
        <w:top w:val="none" w:sz="0" w:space="0" w:color="auto"/>
        <w:left w:val="none" w:sz="0" w:space="0" w:color="auto"/>
        <w:bottom w:val="none" w:sz="0" w:space="0" w:color="auto"/>
        <w:right w:val="none" w:sz="0" w:space="0" w:color="auto"/>
      </w:divBdr>
    </w:div>
    <w:div w:id="410198604">
      <w:marLeft w:val="0"/>
      <w:marRight w:val="0"/>
      <w:marTop w:val="0"/>
      <w:marBottom w:val="0"/>
      <w:divBdr>
        <w:top w:val="none" w:sz="0" w:space="0" w:color="auto"/>
        <w:left w:val="none" w:sz="0" w:space="0" w:color="auto"/>
        <w:bottom w:val="none" w:sz="0" w:space="0" w:color="auto"/>
        <w:right w:val="none" w:sz="0" w:space="0" w:color="auto"/>
      </w:divBdr>
    </w:div>
    <w:div w:id="410198605">
      <w:marLeft w:val="0"/>
      <w:marRight w:val="0"/>
      <w:marTop w:val="0"/>
      <w:marBottom w:val="0"/>
      <w:divBdr>
        <w:top w:val="none" w:sz="0" w:space="0" w:color="auto"/>
        <w:left w:val="none" w:sz="0" w:space="0" w:color="auto"/>
        <w:bottom w:val="none" w:sz="0" w:space="0" w:color="auto"/>
        <w:right w:val="none" w:sz="0" w:space="0" w:color="auto"/>
      </w:divBdr>
      <w:divsChild>
        <w:div w:id="410198600">
          <w:marLeft w:val="0"/>
          <w:marRight w:val="0"/>
          <w:marTop w:val="0"/>
          <w:marBottom w:val="0"/>
          <w:divBdr>
            <w:top w:val="none" w:sz="0" w:space="0" w:color="auto"/>
            <w:left w:val="none" w:sz="0" w:space="0" w:color="auto"/>
            <w:bottom w:val="none" w:sz="0" w:space="0" w:color="auto"/>
            <w:right w:val="none" w:sz="0" w:space="0" w:color="auto"/>
          </w:divBdr>
        </w:div>
        <w:div w:id="410198607">
          <w:marLeft w:val="0"/>
          <w:marRight w:val="0"/>
          <w:marTop w:val="0"/>
          <w:marBottom w:val="0"/>
          <w:divBdr>
            <w:top w:val="none" w:sz="0" w:space="0" w:color="auto"/>
            <w:left w:val="none" w:sz="0" w:space="0" w:color="auto"/>
            <w:bottom w:val="none" w:sz="0" w:space="0" w:color="auto"/>
            <w:right w:val="none" w:sz="0" w:space="0" w:color="auto"/>
          </w:divBdr>
        </w:div>
      </w:divsChild>
    </w:div>
    <w:div w:id="410198606">
      <w:marLeft w:val="0"/>
      <w:marRight w:val="0"/>
      <w:marTop w:val="0"/>
      <w:marBottom w:val="0"/>
      <w:divBdr>
        <w:top w:val="none" w:sz="0" w:space="0" w:color="auto"/>
        <w:left w:val="none" w:sz="0" w:space="0" w:color="auto"/>
        <w:bottom w:val="none" w:sz="0" w:space="0" w:color="auto"/>
        <w:right w:val="none" w:sz="0" w:space="0" w:color="auto"/>
      </w:divBdr>
    </w:div>
    <w:div w:id="410198608">
      <w:marLeft w:val="0"/>
      <w:marRight w:val="0"/>
      <w:marTop w:val="0"/>
      <w:marBottom w:val="0"/>
      <w:divBdr>
        <w:top w:val="none" w:sz="0" w:space="0" w:color="auto"/>
        <w:left w:val="none" w:sz="0" w:space="0" w:color="auto"/>
        <w:bottom w:val="none" w:sz="0" w:space="0" w:color="auto"/>
        <w:right w:val="none" w:sz="0" w:space="0" w:color="auto"/>
      </w:divBdr>
    </w:div>
    <w:div w:id="410198609">
      <w:marLeft w:val="0"/>
      <w:marRight w:val="0"/>
      <w:marTop w:val="0"/>
      <w:marBottom w:val="0"/>
      <w:divBdr>
        <w:top w:val="none" w:sz="0" w:space="0" w:color="auto"/>
        <w:left w:val="none" w:sz="0" w:space="0" w:color="auto"/>
        <w:bottom w:val="none" w:sz="0" w:space="0" w:color="auto"/>
        <w:right w:val="none" w:sz="0" w:space="0" w:color="auto"/>
      </w:divBdr>
    </w:div>
    <w:div w:id="410198610">
      <w:marLeft w:val="0"/>
      <w:marRight w:val="0"/>
      <w:marTop w:val="0"/>
      <w:marBottom w:val="0"/>
      <w:divBdr>
        <w:top w:val="none" w:sz="0" w:space="0" w:color="auto"/>
        <w:left w:val="none" w:sz="0" w:space="0" w:color="auto"/>
        <w:bottom w:val="none" w:sz="0" w:space="0" w:color="auto"/>
        <w:right w:val="none" w:sz="0" w:space="0" w:color="auto"/>
      </w:divBdr>
    </w:div>
    <w:div w:id="410198611">
      <w:marLeft w:val="0"/>
      <w:marRight w:val="0"/>
      <w:marTop w:val="0"/>
      <w:marBottom w:val="0"/>
      <w:divBdr>
        <w:top w:val="none" w:sz="0" w:space="0" w:color="auto"/>
        <w:left w:val="none" w:sz="0" w:space="0" w:color="auto"/>
        <w:bottom w:val="none" w:sz="0" w:space="0" w:color="auto"/>
        <w:right w:val="none" w:sz="0" w:space="0" w:color="auto"/>
      </w:divBdr>
    </w:div>
    <w:div w:id="410198612">
      <w:marLeft w:val="0"/>
      <w:marRight w:val="0"/>
      <w:marTop w:val="0"/>
      <w:marBottom w:val="0"/>
      <w:divBdr>
        <w:top w:val="none" w:sz="0" w:space="0" w:color="auto"/>
        <w:left w:val="none" w:sz="0" w:space="0" w:color="auto"/>
        <w:bottom w:val="none" w:sz="0" w:space="0" w:color="auto"/>
        <w:right w:val="none" w:sz="0" w:space="0" w:color="auto"/>
      </w:divBdr>
    </w:div>
    <w:div w:id="410198613">
      <w:marLeft w:val="0"/>
      <w:marRight w:val="0"/>
      <w:marTop w:val="0"/>
      <w:marBottom w:val="0"/>
      <w:divBdr>
        <w:top w:val="none" w:sz="0" w:space="0" w:color="auto"/>
        <w:left w:val="none" w:sz="0" w:space="0" w:color="auto"/>
        <w:bottom w:val="none" w:sz="0" w:space="0" w:color="auto"/>
        <w:right w:val="none" w:sz="0" w:space="0" w:color="auto"/>
      </w:divBdr>
    </w:div>
    <w:div w:id="410198614">
      <w:marLeft w:val="0"/>
      <w:marRight w:val="0"/>
      <w:marTop w:val="0"/>
      <w:marBottom w:val="0"/>
      <w:divBdr>
        <w:top w:val="none" w:sz="0" w:space="0" w:color="auto"/>
        <w:left w:val="none" w:sz="0" w:space="0" w:color="auto"/>
        <w:bottom w:val="none" w:sz="0" w:space="0" w:color="auto"/>
        <w:right w:val="none" w:sz="0" w:space="0" w:color="auto"/>
      </w:divBdr>
    </w:div>
    <w:div w:id="410198615">
      <w:marLeft w:val="0"/>
      <w:marRight w:val="0"/>
      <w:marTop w:val="0"/>
      <w:marBottom w:val="0"/>
      <w:divBdr>
        <w:top w:val="none" w:sz="0" w:space="0" w:color="auto"/>
        <w:left w:val="none" w:sz="0" w:space="0" w:color="auto"/>
        <w:bottom w:val="none" w:sz="0" w:space="0" w:color="auto"/>
        <w:right w:val="none" w:sz="0" w:space="0" w:color="auto"/>
      </w:divBdr>
    </w:div>
    <w:div w:id="410198616">
      <w:marLeft w:val="0"/>
      <w:marRight w:val="0"/>
      <w:marTop w:val="0"/>
      <w:marBottom w:val="0"/>
      <w:divBdr>
        <w:top w:val="none" w:sz="0" w:space="0" w:color="auto"/>
        <w:left w:val="none" w:sz="0" w:space="0" w:color="auto"/>
        <w:bottom w:val="none" w:sz="0" w:space="0" w:color="auto"/>
        <w:right w:val="none" w:sz="0" w:space="0" w:color="auto"/>
      </w:divBdr>
    </w:div>
    <w:div w:id="410198617">
      <w:marLeft w:val="0"/>
      <w:marRight w:val="0"/>
      <w:marTop w:val="0"/>
      <w:marBottom w:val="0"/>
      <w:divBdr>
        <w:top w:val="none" w:sz="0" w:space="0" w:color="auto"/>
        <w:left w:val="none" w:sz="0" w:space="0" w:color="auto"/>
        <w:bottom w:val="none" w:sz="0" w:space="0" w:color="auto"/>
        <w:right w:val="none" w:sz="0" w:space="0" w:color="auto"/>
      </w:divBdr>
    </w:div>
    <w:div w:id="410198618">
      <w:marLeft w:val="0"/>
      <w:marRight w:val="0"/>
      <w:marTop w:val="0"/>
      <w:marBottom w:val="0"/>
      <w:divBdr>
        <w:top w:val="none" w:sz="0" w:space="0" w:color="auto"/>
        <w:left w:val="none" w:sz="0" w:space="0" w:color="auto"/>
        <w:bottom w:val="none" w:sz="0" w:space="0" w:color="auto"/>
        <w:right w:val="none" w:sz="0" w:space="0" w:color="auto"/>
      </w:divBdr>
    </w:div>
    <w:div w:id="410198619">
      <w:marLeft w:val="0"/>
      <w:marRight w:val="0"/>
      <w:marTop w:val="0"/>
      <w:marBottom w:val="0"/>
      <w:divBdr>
        <w:top w:val="none" w:sz="0" w:space="0" w:color="auto"/>
        <w:left w:val="none" w:sz="0" w:space="0" w:color="auto"/>
        <w:bottom w:val="none" w:sz="0" w:space="0" w:color="auto"/>
        <w:right w:val="none" w:sz="0" w:space="0" w:color="auto"/>
      </w:divBdr>
    </w:div>
    <w:div w:id="410198620">
      <w:marLeft w:val="0"/>
      <w:marRight w:val="0"/>
      <w:marTop w:val="0"/>
      <w:marBottom w:val="0"/>
      <w:divBdr>
        <w:top w:val="none" w:sz="0" w:space="0" w:color="auto"/>
        <w:left w:val="none" w:sz="0" w:space="0" w:color="auto"/>
        <w:bottom w:val="none" w:sz="0" w:space="0" w:color="auto"/>
        <w:right w:val="none" w:sz="0" w:space="0" w:color="auto"/>
      </w:divBdr>
    </w:div>
    <w:div w:id="410198621">
      <w:marLeft w:val="0"/>
      <w:marRight w:val="0"/>
      <w:marTop w:val="0"/>
      <w:marBottom w:val="0"/>
      <w:divBdr>
        <w:top w:val="none" w:sz="0" w:space="0" w:color="auto"/>
        <w:left w:val="none" w:sz="0" w:space="0" w:color="auto"/>
        <w:bottom w:val="none" w:sz="0" w:space="0" w:color="auto"/>
        <w:right w:val="none" w:sz="0" w:space="0" w:color="auto"/>
      </w:divBdr>
    </w:div>
    <w:div w:id="410198622">
      <w:marLeft w:val="0"/>
      <w:marRight w:val="0"/>
      <w:marTop w:val="0"/>
      <w:marBottom w:val="0"/>
      <w:divBdr>
        <w:top w:val="none" w:sz="0" w:space="0" w:color="auto"/>
        <w:left w:val="none" w:sz="0" w:space="0" w:color="auto"/>
        <w:bottom w:val="none" w:sz="0" w:space="0" w:color="auto"/>
        <w:right w:val="none" w:sz="0" w:space="0" w:color="auto"/>
      </w:divBdr>
    </w:div>
    <w:div w:id="410198623">
      <w:marLeft w:val="0"/>
      <w:marRight w:val="0"/>
      <w:marTop w:val="0"/>
      <w:marBottom w:val="0"/>
      <w:divBdr>
        <w:top w:val="none" w:sz="0" w:space="0" w:color="auto"/>
        <w:left w:val="none" w:sz="0" w:space="0" w:color="auto"/>
        <w:bottom w:val="none" w:sz="0" w:space="0" w:color="auto"/>
        <w:right w:val="none" w:sz="0" w:space="0" w:color="auto"/>
      </w:divBdr>
    </w:div>
    <w:div w:id="410198624">
      <w:marLeft w:val="0"/>
      <w:marRight w:val="0"/>
      <w:marTop w:val="0"/>
      <w:marBottom w:val="0"/>
      <w:divBdr>
        <w:top w:val="none" w:sz="0" w:space="0" w:color="auto"/>
        <w:left w:val="none" w:sz="0" w:space="0" w:color="auto"/>
        <w:bottom w:val="none" w:sz="0" w:space="0" w:color="auto"/>
        <w:right w:val="none" w:sz="0" w:space="0" w:color="auto"/>
      </w:divBdr>
    </w:div>
    <w:div w:id="410198625">
      <w:marLeft w:val="0"/>
      <w:marRight w:val="0"/>
      <w:marTop w:val="0"/>
      <w:marBottom w:val="0"/>
      <w:divBdr>
        <w:top w:val="none" w:sz="0" w:space="0" w:color="auto"/>
        <w:left w:val="none" w:sz="0" w:space="0" w:color="auto"/>
        <w:bottom w:val="none" w:sz="0" w:space="0" w:color="auto"/>
        <w:right w:val="none" w:sz="0" w:space="0" w:color="auto"/>
      </w:divBdr>
    </w:div>
    <w:div w:id="410198626">
      <w:marLeft w:val="0"/>
      <w:marRight w:val="0"/>
      <w:marTop w:val="0"/>
      <w:marBottom w:val="0"/>
      <w:divBdr>
        <w:top w:val="none" w:sz="0" w:space="0" w:color="auto"/>
        <w:left w:val="none" w:sz="0" w:space="0" w:color="auto"/>
        <w:bottom w:val="none" w:sz="0" w:space="0" w:color="auto"/>
        <w:right w:val="none" w:sz="0" w:space="0" w:color="auto"/>
      </w:divBdr>
    </w:div>
    <w:div w:id="410198627">
      <w:marLeft w:val="0"/>
      <w:marRight w:val="0"/>
      <w:marTop w:val="0"/>
      <w:marBottom w:val="0"/>
      <w:divBdr>
        <w:top w:val="none" w:sz="0" w:space="0" w:color="auto"/>
        <w:left w:val="none" w:sz="0" w:space="0" w:color="auto"/>
        <w:bottom w:val="none" w:sz="0" w:space="0" w:color="auto"/>
        <w:right w:val="none" w:sz="0" w:space="0" w:color="auto"/>
      </w:divBdr>
    </w:div>
    <w:div w:id="410198628">
      <w:marLeft w:val="0"/>
      <w:marRight w:val="0"/>
      <w:marTop w:val="0"/>
      <w:marBottom w:val="0"/>
      <w:divBdr>
        <w:top w:val="none" w:sz="0" w:space="0" w:color="auto"/>
        <w:left w:val="none" w:sz="0" w:space="0" w:color="auto"/>
        <w:bottom w:val="none" w:sz="0" w:space="0" w:color="auto"/>
        <w:right w:val="none" w:sz="0" w:space="0" w:color="auto"/>
      </w:divBdr>
    </w:div>
    <w:div w:id="598609461">
      <w:bodyDiv w:val="1"/>
      <w:marLeft w:val="0"/>
      <w:marRight w:val="0"/>
      <w:marTop w:val="0"/>
      <w:marBottom w:val="0"/>
      <w:divBdr>
        <w:top w:val="none" w:sz="0" w:space="0" w:color="auto"/>
        <w:left w:val="none" w:sz="0" w:space="0" w:color="auto"/>
        <w:bottom w:val="none" w:sz="0" w:space="0" w:color="auto"/>
        <w:right w:val="none" w:sz="0" w:space="0" w:color="auto"/>
      </w:divBdr>
    </w:div>
    <w:div w:id="686829795">
      <w:bodyDiv w:val="1"/>
      <w:marLeft w:val="0"/>
      <w:marRight w:val="0"/>
      <w:marTop w:val="0"/>
      <w:marBottom w:val="0"/>
      <w:divBdr>
        <w:top w:val="none" w:sz="0" w:space="0" w:color="auto"/>
        <w:left w:val="none" w:sz="0" w:space="0" w:color="auto"/>
        <w:bottom w:val="none" w:sz="0" w:space="0" w:color="auto"/>
        <w:right w:val="none" w:sz="0" w:space="0" w:color="auto"/>
      </w:divBdr>
    </w:div>
    <w:div w:id="802576725">
      <w:bodyDiv w:val="1"/>
      <w:marLeft w:val="0"/>
      <w:marRight w:val="0"/>
      <w:marTop w:val="0"/>
      <w:marBottom w:val="0"/>
      <w:divBdr>
        <w:top w:val="none" w:sz="0" w:space="0" w:color="auto"/>
        <w:left w:val="none" w:sz="0" w:space="0" w:color="auto"/>
        <w:bottom w:val="none" w:sz="0" w:space="0" w:color="auto"/>
        <w:right w:val="none" w:sz="0" w:space="0" w:color="auto"/>
      </w:divBdr>
    </w:div>
    <w:div w:id="987982196">
      <w:bodyDiv w:val="1"/>
      <w:marLeft w:val="0"/>
      <w:marRight w:val="0"/>
      <w:marTop w:val="0"/>
      <w:marBottom w:val="0"/>
      <w:divBdr>
        <w:top w:val="none" w:sz="0" w:space="0" w:color="auto"/>
        <w:left w:val="none" w:sz="0" w:space="0" w:color="auto"/>
        <w:bottom w:val="none" w:sz="0" w:space="0" w:color="auto"/>
        <w:right w:val="none" w:sz="0" w:space="0" w:color="auto"/>
      </w:divBdr>
    </w:div>
    <w:div w:id="1337878159">
      <w:bodyDiv w:val="1"/>
      <w:marLeft w:val="0"/>
      <w:marRight w:val="0"/>
      <w:marTop w:val="0"/>
      <w:marBottom w:val="0"/>
      <w:divBdr>
        <w:top w:val="none" w:sz="0" w:space="0" w:color="auto"/>
        <w:left w:val="none" w:sz="0" w:space="0" w:color="auto"/>
        <w:bottom w:val="none" w:sz="0" w:space="0" w:color="auto"/>
        <w:right w:val="none" w:sz="0" w:space="0" w:color="auto"/>
      </w:divBdr>
    </w:div>
    <w:div w:id="1630939864">
      <w:bodyDiv w:val="1"/>
      <w:marLeft w:val="0"/>
      <w:marRight w:val="0"/>
      <w:marTop w:val="0"/>
      <w:marBottom w:val="0"/>
      <w:divBdr>
        <w:top w:val="none" w:sz="0" w:space="0" w:color="auto"/>
        <w:left w:val="none" w:sz="0" w:space="0" w:color="auto"/>
        <w:bottom w:val="none" w:sz="0" w:space="0" w:color="auto"/>
        <w:right w:val="none" w:sz="0" w:space="0" w:color="auto"/>
      </w:divBdr>
    </w:div>
    <w:div w:id="1664507242">
      <w:bodyDiv w:val="1"/>
      <w:marLeft w:val="0"/>
      <w:marRight w:val="0"/>
      <w:marTop w:val="0"/>
      <w:marBottom w:val="0"/>
      <w:divBdr>
        <w:top w:val="none" w:sz="0" w:space="0" w:color="auto"/>
        <w:left w:val="none" w:sz="0" w:space="0" w:color="auto"/>
        <w:bottom w:val="none" w:sz="0" w:space="0" w:color="auto"/>
        <w:right w:val="none" w:sz="0" w:space="0" w:color="auto"/>
      </w:divBdr>
    </w:div>
    <w:div w:id="1731031010">
      <w:bodyDiv w:val="1"/>
      <w:marLeft w:val="0"/>
      <w:marRight w:val="0"/>
      <w:marTop w:val="0"/>
      <w:marBottom w:val="0"/>
      <w:divBdr>
        <w:top w:val="none" w:sz="0" w:space="0" w:color="auto"/>
        <w:left w:val="none" w:sz="0" w:space="0" w:color="auto"/>
        <w:bottom w:val="none" w:sz="0" w:space="0" w:color="auto"/>
        <w:right w:val="none" w:sz="0" w:space="0" w:color="auto"/>
      </w:divBdr>
    </w:div>
    <w:div w:id="20438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2463</Words>
  <Characters>13305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pereirasm</dc:creator>
  <cp:lastModifiedBy>SANDRO FERNANDES</cp:lastModifiedBy>
  <cp:revision>2</cp:revision>
  <cp:lastPrinted>2021-02-04T17:45:00Z</cp:lastPrinted>
  <dcterms:created xsi:type="dcterms:W3CDTF">2021-02-11T22:29:00Z</dcterms:created>
  <dcterms:modified xsi:type="dcterms:W3CDTF">2021-02-11T22:29:00Z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